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61" w:rsidRPr="005F6061" w:rsidRDefault="005F6061" w:rsidP="005F6061">
      <w:pPr>
        <w:pStyle w:val="Ttulo"/>
        <w:jc w:val="left"/>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r w:rsidRPr="005F6061">
        <w:rPr>
          <w:rFonts w:ascii="Times New Roman" w:hAnsi="Times New Roman"/>
          <w:sz w:val="32"/>
          <w:szCs w:val="32"/>
          <w:lang w:val="es-CO"/>
        </w:rPr>
        <w:t>Repú</w:t>
      </w:r>
      <w:r w:rsidR="003B3507">
        <w:rPr>
          <w:rFonts w:ascii="Times New Roman" w:hAnsi="Times New Roman"/>
          <w:sz w:val="32"/>
          <w:szCs w:val="32"/>
          <w:lang w:val="es-CO"/>
        </w:rPr>
        <w:t>b</w:t>
      </w:r>
      <w:r w:rsidRPr="005F6061">
        <w:rPr>
          <w:rFonts w:ascii="Times New Roman" w:hAnsi="Times New Roman"/>
          <w:sz w:val="32"/>
          <w:szCs w:val="32"/>
          <w:lang w:val="es-CO"/>
        </w:rPr>
        <w:t>lica de Colombia</w:t>
      </w:r>
    </w:p>
    <w:p w:rsidR="005F6061" w:rsidRPr="005F6061" w:rsidRDefault="005F6061" w:rsidP="005F6061">
      <w:pPr>
        <w:pStyle w:val="Ttulo"/>
        <w:rPr>
          <w:rFonts w:ascii="Times New Roman" w:hAnsi="Times New Roman"/>
          <w:sz w:val="32"/>
          <w:szCs w:val="32"/>
          <w:lang w:val="es-CO"/>
        </w:rPr>
      </w:pPr>
      <w:r w:rsidRPr="005F6061">
        <w:rPr>
          <w:rFonts w:ascii="Times New Roman" w:hAnsi="Times New Roman"/>
          <w:sz w:val="32"/>
          <w:szCs w:val="32"/>
          <w:lang w:val="es-CO"/>
        </w:rPr>
        <w:t>MINISTERIO DE EDUCACIÓN NACIONAL</w:t>
      </w: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r w:rsidRPr="005F6061">
        <w:rPr>
          <w:rFonts w:ascii="Times New Roman" w:hAnsi="Times New Roman"/>
          <w:sz w:val="32"/>
          <w:szCs w:val="32"/>
          <w:lang w:val="es-CO"/>
        </w:rPr>
        <w:t xml:space="preserve">Proyecto de Modernización de Secretarías de Educación </w:t>
      </w:r>
    </w:p>
    <w:p w:rsidR="005F6061" w:rsidRPr="005F6061" w:rsidRDefault="005F6061" w:rsidP="005F6061">
      <w:pPr>
        <w:pStyle w:val="Ttulo"/>
        <w:rPr>
          <w:rFonts w:ascii="Times New Roman" w:hAnsi="Times New Roman"/>
          <w:sz w:val="32"/>
          <w:szCs w:val="32"/>
          <w:lang w:val="es-CO"/>
        </w:rPr>
      </w:pPr>
    </w:p>
    <w:p w:rsidR="003B3507" w:rsidRDefault="005F6061" w:rsidP="005F6061">
      <w:pPr>
        <w:pStyle w:val="Ttulo"/>
        <w:rPr>
          <w:rFonts w:ascii="Times New Roman" w:hAnsi="Times New Roman"/>
          <w:sz w:val="32"/>
          <w:szCs w:val="32"/>
          <w:lang w:val="es-CO"/>
        </w:rPr>
      </w:pPr>
      <w:r w:rsidRPr="005F6061">
        <w:rPr>
          <w:rFonts w:ascii="Times New Roman" w:hAnsi="Times New Roman"/>
          <w:sz w:val="32"/>
          <w:szCs w:val="32"/>
          <w:lang w:val="es-CO"/>
        </w:rPr>
        <w:t xml:space="preserve">SECRETARÍA DE EDUCACIÓN DE </w:t>
      </w:r>
      <w:r w:rsidR="003B3507">
        <w:rPr>
          <w:rFonts w:ascii="Times New Roman" w:hAnsi="Times New Roman"/>
          <w:sz w:val="32"/>
          <w:szCs w:val="32"/>
          <w:lang w:val="es-CO"/>
        </w:rPr>
        <w:t>NORTE DE SANTANDER</w:t>
      </w:r>
    </w:p>
    <w:p w:rsidR="005F6061" w:rsidRPr="005F6061" w:rsidRDefault="005F6061" w:rsidP="005F6061">
      <w:pPr>
        <w:pStyle w:val="Ttulo"/>
        <w:rPr>
          <w:rFonts w:ascii="Times New Roman" w:hAnsi="Times New Roman"/>
          <w:sz w:val="32"/>
          <w:szCs w:val="32"/>
          <w:lang w:val="es-CO"/>
        </w:rPr>
      </w:pPr>
      <w:r w:rsidRPr="005F6061">
        <w:rPr>
          <w:rFonts w:ascii="Times New Roman" w:hAnsi="Times New Roman"/>
          <w:sz w:val="32"/>
          <w:szCs w:val="32"/>
          <w:lang w:val="es-CO"/>
        </w:rPr>
        <w:t>CARACTERIZACIÓN DEL PROCESO</w:t>
      </w:r>
    </w:p>
    <w:p w:rsidR="005F6061" w:rsidRPr="005F6061" w:rsidRDefault="005F6061" w:rsidP="005F6061">
      <w:pPr>
        <w:pStyle w:val="Ttulo"/>
        <w:rPr>
          <w:rFonts w:ascii="Times New Roman" w:hAnsi="Times New Roman"/>
          <w:i/>
          <w:sz w:val="32"/>
          <w:szCs w:val="32"/>
          <w:u w:val="single"/>
          <w:lang w:val="es-CO"/>
        </w:rPr>
      </w:pPr>
      <w:r w:rsidRPr="005F6061">
        <w:rPr>
          <w:rFonts w:ascii="Times New Roman" w:hAnsi="Times New Roman"/>
          <w:i/>
          <w:sz w:val="32"/>
          <w:szCs w:val="32"/>
          <w:u w:val="single"/>
          <w:lang w:val="es-CO"/>
        </w:rPr>
        <w:t xml:space="preserve">“C05. HACER SEGUIMIENTO A LA </w:t>
      </w:r>
    </w:p>
    <w:p w:rsidR="005F6061" w:rsidRPr="005F6061" w:rsidRDefault="005F6061" w:rsidP="005F6061">
      <w:pPr>
        <w:pStyle w:val="Ttulo"/>
        <w:rPr>
          <w:rFonts w:ascii="Times New Roman" w:hAnsi="Times New Roman"/>
          <w:i/>
          <w:sz w:val="32"/>
          <w:szCs w:val="32"/>
          <w:u w:val="single"/>
          <w:lang w:val="es-CO"/>
        </w:rPr>
      </w:pPr>
      <w:r w:rsidRPr="005F6061">
        <w:rPr>
          <w:rFonts w:ascii="Times New Roman" w:hAnsi="Times New Roman"/>
          <w:i/>
          <w:sz w:val="32"/>
          <w:szCs w:val="32"/>
          <w:u w:val="single"/>
          <w:lang w:val="es-CO"/>
        </w:rPr>
        <w:t>GESTIÓN DE MATRÍCULA”</w:t>
      </w: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r w:rsidRPr="005F6061">
        <w:rPr>
          <w:rFonts w:ascii="Times New Roman" w:hAnsi="Times New Roman"/>
          <w:sz w:val="32"/>
          <w:szCs w:val="32"/>
          <w:lang w:val="es-CO"/>
        </w:rPr>
        <w:t xml:space="preserve">PERTENECIENTE AL MACROPROCESO </w:t>
      </w:r>
    </w:p>
    <w:p w:rsidR="005F6061" w:rsidRPr="005F6061" w:rsidRDefault="005F6061" w:rsidP="005F6061">
      <w:pPr>
        <w:pStyle w:val="Ttulo"/>
        <w:rPr>
          <w:rFonts w:ascii="Times New Roman" w:hAnsi="Times New Roman"/>
          <w:i/>
          <w:sz w:val="32"/>
          <w:szCs w:val="32"/>
          <w:lang w:val="es-CO"/>
        </w:rPr>
      </w:pPr>
      <w:r w:rsidRPr="005F6061">
        <w:rPr>
          <w:rFonts w:ascii="Times New Roman" w:hAnsi="Times New Roman"/>
          <w:i/>
          <w:sz w:val="32"/>
          <w:szCs w:val="32"/>
          <w:lang w:val="es-CO"/>
        </w:rPr>
        <w:t>“C. GESTIÓN LA COBERTURA DEL SERVICIO EDUCATIVO”</w:t>
      </w: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32"/>
          <w:szCs w:val="32"/>
          <w:lang w:val="es-CO"/>
        </w:rPr>
      </w:pPr>
    </w:p>
    <w:p w:rsidR="005F6061" w:rsidRPr="005F6061" w:rsidRDefault="005F6061" w:rsidP="005F6061">
      <w:pPr>
        <w:pStyle w:val="Ttulo"/>
        <w:rPr>
          <w:rFonts w:ascii="Times New Roman" w:hAnsi="Times New Roman"/>
          <w:sz w:val="24"/>
          <w:szCs w:val="24"/>
          <w:lang w:val="es-CO"/>
        </w:rPr>
      </w:pPr>
      <w:r w:rsidRPr="005F6061">
        <w:rPr>
          <w:rFonts w:ascii="Times New Roman" w:hAnsi="Times New Roman"/>
          <w:sz w:val="24"/>
          <w:szCs w:val="24"/>
          <w:lang w:val="es-CO"/>
        </w:rPr>
        <w:t>Agosto de 20</w:t>
      </w:r>
      <w:r w:rsidR="001808E6">
        <w:rPr>
          <w:rFonts w:ascii="Times New Roman" w:hAnsi="Times New Roman"/>
          <w:sz w:val="24"/>
          <w:szCs w:val="24"/>
          <w:lang w:val="es-CO"/>
        </w:rPr>
        <w:t>13</w:t>
      </w:r>
    </w:p>
    <w:p w:rsidR="005F6061" w:rsidRDefault="005F6061">
      <w:pPr>
        <w:rPr>
          <w:rFonts w:ascii="Times New Roman" w:eastAsia="Times New Roman" w:hAnsi="Times New Roman" w:cs="Times New Roman"/>
          <w:b/>
          <w:sz w:val="24"/>
          <w:szCs w:val="24"/>
          <w:lang w:eastAsia="es-ES"/>
        </w:rPr>
      </w:pPr>
      <w:r>
        <w:rPr>
          <w:rFonts w:ascii="Times New Roman" w:hAnsi="Times New Roman"/>
          <w:sz w:val="24"/>
          <w:szCs w:val="24"/>
        </w:rPr>
        <w:br w:type="page"/>
      </w:r>
    </w:p>
    <w:p w:rsidR="005F6061" w:rsidRPr="005F6061" w:rsidRDefault="005F6061" w:rsidP="005F6061">
      <w:pPr>
        <w:pStyle w:val="Ttulo"/>
        <w:rPr>
          <w:rFonts w:ascii="Times New Roman" w:hAnsi="Times New Roman"/>
          <w:sz w:val="24"/>
          <w:szCs w:val="24"/>
          <w:lang w:val="es-CO"/>
        </w:rPr>
      </w:pPr>
    </w:p>
    <w:p w:rsidR="001808E6" w:rsidRPr="008D5567" w:rsidRDefault="001808E6" w:rsidP="001808E6">
      <w:r w:rsidRPr="008D5567">
        <w:rPr>
          <w:b/>
        </w:rPr>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1808E6" w:rsidRPr="008D5567" w:rsidTr="00C4765F">
        <w:tblPrEx>
          <w:tblCellMar>
            <w:top w:w="0" w:type="dxa"/>
            <w:bottom w:w="0" w:type="dxa"/>
          </w:tblCellMar>
        </w:tblPrEx>
        <w:tc>
          <w:tcPr>
            <w:tcW w:w="1098" w:type="dxa"/>
            <w:shd w:val="pct12" w:color="auto" w:fill="auto"/>
          </w:tcPr>
          <w:p w:rsidR="001808E6" w:rsidRPr="008D5567" w:rsidRDefault="001808E6" w:rsidP="00C4765F">
            <w:pPr>
              <w:rPr>
                <w:b/>
              </w:rPr>
            </w:pPr>
            <w:r w:rsidRPr="008D5567">
              <w:rPr>
                <w:b/>
              </w:rPr>
              <w:t>Versión</w:t>
            </w:r>
          </w:p>
        </w:tc>
        <w:tc>
          <w:tcPr>
            <w:tcW w:w="1987" w:type="dxa"/>
            <w:shd w:val="pct12" w:color="auto" w:fill="auto"/>
          </w:tcPr>
          <w:p w:rsidR="001808E6" w:rsidRPr="008D5567" w:rsidRDefault="001808E6"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1808E6" w:rsidRPr="008D5567" w:rsidRDefault="001808E6" w:rsidP="00C4765F">
            <w:pPr>
              <w:rPr>
                <w:b/>
              </w:rPr>
            </w:pPr>
            <w:r w:rsidRPr="008D5567">
              <w:rPr>
                <w:b/>
              </w:rPr>
              <w:t>Elaborado por:</w:t>
            </w:r>
          </w:p>
        </w:tc>
        <w:tc>
          <w:tcPr>
            <w:tcW w:w="3969" w:type="dxa"/>
            <w:shd w:val="pct12" w:color="auto" w:fill="auto"/>
          </w:tcPr>
          <w:p w:rsidR="001808E6" w:rsidRPr="008D5567" w:rsidRDefault="001808E6" w:rsidP="00C4765F">
            <w:pPr>
              <w:rPr>
                <w:b/>
              </w:rPr>
            </w:pPr>
            <w:r w:rsidRPr="008D5567">
              <w:rPr>
                <w:b/>
              </w:rPr>
              <w:t>Razón de la actualización</w:t>
            </w:r>
          </w:p>
        </w:tc>
      </w:tr>
      <w:tr w:rsidR="001808E6" w:rsidRPr="008D5567" w:rsidTr="00C4765F">
        <w:tblPrEx>
          <w:tblCellMar>
            <w:top w:w="0" w:type="dxa"/>
            <w:bottom w:w="0" w:type="dxa"/>
          </w:tblCellMar>
        </w:tblPrEx>
        <w:tc>
          <w:tcPr>
            <w:tcW w:w="1098" w:type="dxa"/>
          </w:tcPr>
          <w:p w:rsidR="001808E6" w:rsidRPr="008D5567" w:rsidRDefault="001808E6" w:rsidP="00C4765F">
            <w:r w:rsidRPr="008D5567">
              <w:t>1.0</w:t>
            </w:r>
          </w:p>
        </w:tc>
        <w:tc>
          <w:tcPr>
            <w:tcW w:w="1987" w:type="dxa"/>
          </w:tcPr>
          <w:p w:rsidR="001808E6" w:rsidRPr="008D5567" w:rsidRDefault="001808E6" w:rsidP="00C4765F">
            <w:r>
              <w:t>15/11/05</w:t>
            </w:r>
          </w:p>
          <w:p w:rsidR="001808E6" w:rsidRPr="008D5567" w:rsidRDefault="001808E6" w:rsidP="00C4765F"/>
        </w:tc>
        <w:tc>
          <w:tcPr>
            <w:tcW w:w="2552" w:type="dxa"/>
          </w:tcPr>
          <w:p w:rsidR="001808E6" w:rsidRDefault="001808E6" w:rsidP="00C4765F">
            <w:pPr>
              <w:spacing w:after="0"/>
            </w:pPr>
          </w:p>
          <w:p w:rsidR="001808E6" w:rsidRDefault="001808E6" w:rsidP="00C4765F">
            <w:pPr>
              <w:spacing w:after="0"/>
            </w:pPr>
            <w:r>
              <w:t>Rosaura Díaz</w:t>
            </w:r>
          </w:p>
          <w:p w:rsidR="001808E6" w:rsidRDefault="001808E6" w:rsidP="00C4765F">
            <w:pPr>
              <w:spacing w:after="0"/>
            </w:pPr>
          </w:p>
          <w:p w:rsidR="001808E6" w:rsidRDefault="001808E6" w:rsidP="00C4765F">
            <w:pPr>
              <w:spacing w:after="0"/>
            </w:pPr>
            <w:r>
              <w:t>Catalina Moreno</w:t>
            </w:r>
          </w:p>
          <w:p w:rsidR="001808E6" w:rsidRPr="008D5567" w:rsidRDefault="001808E6" w:rsidP="00C4765F">
            <w:pPr>
              <w:spacing w:after="0"/>
              <w:rPr>
                <w:color w:val="FF6600"/>
              </w:rPr>
            </w:pPr>
          </w:p>
        </w:tc>
        <w:tc>
          <w:tcPr>
            <w:tcW w:w="3969" w:type="dxa"/>
          </w:tcPr>
          <w:p w:rsidR="001808E6" w:rsidRPr="008D5567" w:rsidRDefault="001808E6" w:rsidP="00C4765F">
            <w:r w:rsidRPr="008D5567">
              <w:t>Elaboración del Documento</w:t>
            </w:r>
          </w:p>
        </w:tc>
      </w:tr>
      <w:tr w:rsidR="001808E6" w:rsidRPr="008D5567" w:rsidTr="00C4765F">
        <w:tblPrEx>
          <w:tblCellMar>
            <w:top w:w="0" w:type="dxa"/>
            <w:bottom w:w="0" w:type="dxa"/>
          </w:tblCellMar>
        </w:tblPrEx>
        <w:tc>
          <w:tcPr>
            <w:tcW w:w="1098" w:type="dxa"/>
          </w:tcPr>
          <w:p w:rsidR="001808E6" w:rsidRDefault="001808E6" w:rsidP="00C4765F">
            <w:pPr>
              <w:tabs>
                <w:tab w:val="left" w:pos="795"/>
              </w:tabs>
            </w:pPr>
            <w:r>
              <w:t>2.0</w:t>
            </w:r>
            <w:r>
              <w:tab/>
            </w:r>
          </w:p>
        </w:tc>
        <w:tc>
          <w:tcPr>
            <w:tcW w:w="1987" w:type="dxa"/>
          </w:tcPr>
          <w:p w:rsidR="001808E6" w:rsidRDefault="001808E6" w:rsidP="00C4765F">
            <w:r>
              <w:t>25/10/12</w:t>
            </w:r>
          </w:p>
        </w:tc>
        <w:tc>
          <w:tcPr>
            <w:tcW w:w="2552" w:type="dxa"/>
          </w:tcPr>
          <w:p w:rsidR="001808E6" w:rsidRDefault="001808E6" w:rsidP="00C4765F">
            <w:pPr>
              <w:spacing w:after="0"/>
            </w:pPr>
            <w:r>
              <w:t>Juan Carlos Posada A</w:t>
            </w:r>
          </w:p>
        </w:tc>
        <w:tc>
          <w:tcPr>
            <w:tcW w:w="3969" w:type="dxa"/>
          </w:tcPr>
          <w:p w:rsidR="001808E6" w:rsidRDefault="001808E6" w:rsidP="00C4765F">
            <w:r>
              <w:t xml:space="preserve">Actualización de versiones de documentos detallados, </w:t>
            </w:r>
            <w:proofErr w:type="spellStart"/>
            <w:r>
              <w:t>flujogramas</w:t>
            </w:r>
            <w:proofErr w:type="spellEnd"/>
            <w:r>
              <w:t xml:space="preserve"> y formatos.</w:t>
            </w:r>
          </w:p>
        </w:tc>
      </w:tr>
      <w:tr w:rsidR="001808E6" w:rsidRPr="008D5567" w:rsidTr="00C4765F">
        <w:tblPrEx>
          <w:tblCellMar>
            <w:top w:w="0" w:type="dxa"/>
            <w:bottom w:w="0" w:type="dxa"/>
          </w:tblCellMar>
        </w:tblPrEx>
        <w:tc>
          <w:tcPr>
            <w:tcW w:w="1098" w:type="dxa"/>
          </w:tcPr>
          <w:p w:rsidR="001808E6" w:rsidRDefault="001808E6" w:rsidP="00C4765F">
            <w:pPr>
              <w:tabs>
                <w:tab w:val="left" w:pos="795"/>
              </w:tabs>
            </w:pPr>
            <w:r>
              <w:t>3.0</w:t>
            </w:r>
          </w:p>
        </w:tc>
        <w:tc>
          <w:tcPr>
            <w:tcW w:w="1987" w:type="dxa"/>
          </w:tcPr>
          <w:p w:rsidR="001808E6" w:rsidRDefault="001808E6" w:rsidP="00C4765F">
            <w:r>
              <w:t>30/08/2013</w:t>
            </w:r>
          </w:p>
        </w:tc>
        <w:tc>
          <w:tcPr>
            <w:tcW w:w="2552" w:type="dxa"/>
          </w:tcPr>
          <w:p w:rsidR="001808E6" w:rsidRDefault="001808E6" w:rsidP="00C4765F">
            <w:pPr>
              <w:spacing w:after="0"/>
            </w:pPr>
            <w:r>
              <w:t>Juan Carlos Posada A</w:t>
            </w:r>
          </w:p>
        </w:tc>
        <w:tc>
          <w:tcPr>
            <w:tcW w:w="3969" w:type="dxa"/>
          </w:tcPr>
          <w:p w:rsidR="001808E6" w:rsidRDefault="001808E6" w:rsidP="00C4765F">
            <w:r>
              <w:t>Actualización del documento por adopción de la nueva estructura de la planta de cargos</w:t>
            </w:r>
          </w:p>
        </w:tc>
      </w:tr>
    </w:tbl>
    <w:p w:rsidR="001808E6" w:rsidRDefault="001808E6" w:rsidP="001808E6"/>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1808E6"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1808E6" w:rsidRPr="00273D2E" w:rsidRDefault="001808E6" w:rsidP="00C4765F">
            <w:pPr>
              <w:rPr>
                <w:b/>
                <w:lang w:val="es-ES"/>
              </w:rPr>
            </w:pPr>
            <w:r w:rsidRPr="00273D2E">
              <w:rPr>
                <w:b/>
                <w:lang w:val="es-ES"/>
              </w:rPr>
              <w:t>Revisado por:</w:t>
            </w:r>
          </w:p>
          <w:p w:rsidR="001808E6" w:rsidRDefault="001808E6" w:rsidP="00C4765F">
            <w:pPr>
              <w:rPr>
                <w:b/>
                <w:lang w:val="es-ES"/>
              </w:rPr>
            </w:pPr>
          </w:p>
          <w:p w:rsidR="001808E6" w:rsidRDefault="001808E6" w:rsidP="00C4765F">
            <w:pPr>
              <w:rPr>
                <w:b/>
                <w:lang w:val="es-ES"/>
              </w:rPr>
            </w:pPr>
          </w:p>
          <w:p w:rsidR="001808E6" w:rsidRPr="00BF0967" w:rsidRDefault="001808E6" w:rsidP="00C4765F">
            <w:pPr>
              <w:spacing w:after="0"/>
            </w:pPr>
            <w:r w:rsidRPr="00BF0967">
              <w:rPr>
                <w:lang w:val="es-ES"/>
              </w:rPr>
              <w:t xml:space="preserve">Juan </w:t>
            </w:r>
            <w:r w:rsidRPr="00BF0967">
              <w:t>Carlos Posada A</w:t>
            </w:r>
          </w:p>
          <w:p w:rsidR="001808E6" w:rsidRPr="00BF0967" w:rsidRDefault="001808E6" w:rsidP="00C4765F">
            <w:pPr>
              <w:spacing w:after="0"/>
            </w:pPr>
            <w:r w:rsidRPr="00BF0967">
              <w:t>Líder S.G.C</w:t>
            </w:r>
          </w:p>
          <w:p w:rsidR="001808E6" w:rsidRPr="00707B8E" w:rsidRDefault="001808E6" w:rsidP="00C4765F">
            <w:pPr>
              <w:spacing w:after="0"/>
            </w:pPr>
            <w:r w:rsidRPr="00707B8E">
              <w:t xml:space="preserve">Fecha:   </w:t>
            </w:r>
            <w:r>
              <w:t>30/08/2013</w:t>
            </w:r>
            <w:r w:rsidRPr="00707B8E">
              <w:t xml:space="preserve">    </w:t>
            </w:r>
          </w:p>
          <w:p w:rsidR="001808E6" w:rsidRPr="00707B8E" w:rsidRDefault="001808E6" w:rsidP="00C4765F">
            <w:pPr>
              <w:spacing w:after="0"/>
            </w:pPr>
          </w:p>
          <w:p w:rsidR="001808E6" w:rsidRPr="00707B8E" w:rsidRDefault="001808E6" w:rsidP="00C4765F">
            <w:pPr>
              <w:spacing w:after="0"/>
            </w:pPr>
          </w:p>
          <w:p w:rsidR="001808E6" w:rsidRPr="00707B8E" w:rsidRDefault="001808E6" w:rsidP="00C4765F">
            <w:pPr>
              <w:spacing w:after="0"/>
            </w:pPr>
          </w:p>
          <w:p w:rsidR="001808E6" w:rsidRPr="00707B8E" w:rsidRDefault="001808E6" w:rsidP="00C4765F">
            <w:pPr>
              <w:spacing w:after="0"/>
            </w:pPr>
          </w:p>
          <w:p w:rsidR="001808E6" w:rsidRPr="00B41DF8" w:rsidRDefault="001808E6"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808E6" w:rsidRPr="00707B8E" w:rsidRDefault="001808E6" w:rsidP="00C4765F">
            <w:pPr>
              <w:rPr>
                <w:b/>
              </w:rPr>
            </w:pPr>
            <w:r w:rsidRPr="00707B8E">
              <w:rPr>
                <w:b/>
              </w:rPr>
              <w:t>Aprobado por:</w:t>
            </w:r>
          </w:p>
          <w:p w:rsidR="001808E6" w:rsidRDefault="001808E6" w:rsidP="00C4765F"/>
          <w:p w:rsidR="001808E6" w:rsidRPr="00BF0967" w:rsidRDefault="001808E6" w:rsidP="00C4765F">
            <w:pPr>
              <w:spacing w:after="0"/>
              <w:rPr>
                <w:lang w:val="es-ES"/>
              </w:rPr>
            </w:pPr>
            <w:r w:rsidRPr="00BF0967">
              <w:rPr>
                <w:lang w:val="es-ES"/>
              </w:rPr>
              <w:t>Sandra Milena Sandoval</w:t>
            </w:r>
          </w:p>
          <w:p w:rsidR="001808E6" w:rsidRPr="00BF0967" w:rsidRDefault="001808E6" w:rsidP="00C4765F">
            <w:pPr>
              <w:spacing w:after="0"/>
              <w:rPr>
                <w:lang w:val="es-ES"/>
              </w:rPr>
            </w:pPr>
            <w:r w:rsidRPr="00BF0967">
              <w:rPr>
                <w:lang w:val="es-ES"/>
              </w:rPr>
              <w:t>Líder de Cobertura</w:t>
            </w:r>
          </w:p>
          <w:p w:rsidR="001808E6" w:rsidRPr="00BF0967" w:rsidRDefault="001808E6" w:rsidP="00C4765F">
            <w:pPr>
              <w:spacing w:after="0"/>
              <w:rPr>
                <w:lang w:val="es-ES"/>
              </w:rPr>
            </w:pPr>
            <w:r w:rsidRPr="00BF0967">
              <w:rPr>
                <w:lang w:val="es-ES"/>
              </w:rPr>
              <w:t xml:space="preserve">Fecha:   </w:t>
            </w:r>
            <w:r>
              <w:t>30/08/2013</w:t>
            </w:r>
            <w:r w:rsidRPr="00BF0967">
              <w:rPr>
                <w:lang w:val="es-ES"/>
              </w:rPr>
              <w:t xml:space="preserve">             </w:t>
            </w:r>
          </w:p>
          <w:p w:rsidR="001808E6" w:rsidRDefault="001808E6" w:rsidP="00C4765F">
            <w:pPr>
              <w:spacing w:after="0"/>
            </w:pPr>
            <w:r>
              <w:t xml:space="preserve"> </w:t>
            </w:r>
          </w:p>
          <w:p w:rsidR="001808E6" w:rsidRDefault="001808E6" w:rsidP="00C4765F">
            <w:pPr>
              <w:spacing w:after="0"/>
            </w:pPr>
            <w:r>
              <w:t>Alberto Sosa Ayala</w:t>
            </w:r>
          </w:p>
          <w:p w:rsidR="001808E6" w:rsidRDefault="001808E6" w:rsidP="00C4765F">
            <w:pPr>
              <w:spacing w:after="0"/>
            </w:pPr>
            <w:r>
              <w:t>Representante de la Dirección</w:t>
            </w:r>
          </w:p>
          <w:p w:rsidR="001808E6" w:rsidRPr="00707B8E" w:rsidRDefault="001808E6" w:rsidP="00C4765F">
            <w:pPr>
              <w:spacing w:after="0"/>
            </w:pPr>
            <w:r>
              <w:t>Fecha: 30/08/2013</w:t>
            </w:r>
            <w:r w:rsidRPr="0094507E">
              <w:rPr>
                <w:lang w:val="en-US"/>
              </w:rPr>
              <w:t xml:space="preserve">    </w:t>
            </w:r>
            <w:r w:rsidRPr="00707B8E">
              <w:t xml:space="preserve">                                                         </w:t>
            </w:r>
          </w:p>
          <w:p w:rsidR="001808E6" w:rsidRPr="00707B8E" w:rsidRDefault="001808E6" w:rsidP="00C4765F">
            <w:pPr>
              <w:spacing w:after="0"/>
            </w:pPr>
          </w:p>
          <w:p w:rsidR="001808E6" w:rsidRPr="00707B8E" w:rsidRDefault="001808E6" w:rsidP="00C4765F">
            <w:pPr>
              <w:spacing w:after="0"/>
            </w:pPr>
          </w:p>
        </w:tc>
      </w:tr>
    </w:tbl>
    <w:p w:rsidR="005F6061" w:rsidRPr="005F6061" w:rsidRDefault="005F6061" w:rsidP="005F6061">
      <w:pPr>
        <w:pStyle w:val="Ttulo"/>
        <w:rPr>
          <w:rFonts w:ascii="Times New Roman" w:hAnsi="Times New Roman"/>
          <w:sz w:val="24"/>
          <w:szCs w:val="24"/>
          <w:lang w:val="es-CO"/>
        </w:rPr>
      </w:pPr>
      <w:bookmarkStart w:id="0" w:name="_GoBack"/>
      <w:bookmarkEnd w:id="0"/>
      <w:r w:rsidRPr="005F6061">
        <w:rPr>
          <w:rFonts w:ascii="Times New Roman" w:hAnsi="Times New Roman"/>
          <w:sz w:val="24"/>
          <w:szCs w:val="24"/>
          <w:lang w:val="es-CO"/>
        </w:rPr>
        <w:br w:type="page"/>
      </w:r>
      <w:r w:rsidRPr="005F6061">
        <w:rPr>
          <w:rFonts w:ascii="Times New Roman" w:hAnsi="Times New Roman"/>
          <w:sz w:val="24"/>
          <w:szCs w:val="24"/>
          <w:lang w:val="es-CO"/>
        </w:rPr>
        <w:lastRenderedPageBreak/>
        <w:t>CONTENIDO</w:t>
      </w:r>
    </w:p>
    <w:p w:rsidR="005F6061" w:rsidRPr="005F6061" w:rsidRDefault="005F6061" w:rsidP="005F6061">
      <w:pPr>
        <w:pStyle w:val="Ttulo"/>
        <w:rPr>
          <w:rFonts w:ascii="Times New Roman" w:hAnsi="Times New Roman"/>
          <w:sz w:val="24"/>
          <w:szCs w:val="24"/>
          <w:lang w:val="es-CO"/>
        </w:rPr>
      </w:pPr>
    </w:p>
    <w:p w:rsidR="005F6061" w:rsidRPr="005F6061" w:rsidRDefault="005F6061" w:rsidP="005F6061">
      <w:pPr>
        <w:pStyle w:val="TDC1"/>
        <w:tabs>
          <w:tab w:val="left" w:pos="1080"/>
          <w:tab w:val="right" w:leader="dot" w:pos="8834"/>
        </w:tabs>
        <w:rPr>
          <w:b w:val="0"/>
          <w:caps w:val="0"/>
          <w:noProof/>
          <w:sz w:val="24"/>
          <w:szCs w:val="24"/>
          <w:lang w:val="es-ES"/>
        </w:rPr>
      </w:pPr>
      <w:r w:rsidRPr="005F6061">
        <w:rPr>
          <w:b w:val="0"/>
          <w:bCs/>
          <w:caps w:val="0"/>
          <w:sz w:val="24"/>
          <w:szCs w:val="24"/>
          <w:lang w:val="es-CO"/>
        </w:rPr>
        <w:fldChar w:fldCharType="begin"/>
      </w:r>
      <w:r w:rsidRPr="005F6061">
        <w:rPr>
          <w:b w:val="0"/>
          <w:bCs/>
          <w:caps w:val="0"/>
          <w:sz w:val="24"/>
          <w:szCs w:val="24"/>
          <w:lang w:val="es-CO"/>
        </w:rPr>
        <w:instrText xml:space="preserve"> TOC \o "1-4" </w:instrText>
      </w:r>
      <w:r w:rsidRPr="005F6061">
        <w:rPr>
          <w:b w:val="0"/>
          <w:bCs/>
          <w:caps w:val="0"/>
          <w:sz w:val="24"/>
          <w:szCs w:val="24"/>
          <w:lang w:val="es-CO"/>
        </w:rPr>
        <w:fldChar w:fldCharType="separate"/>
      </w:r>
      <w:r w:rsidRPr="005F6061">
        <w:rPr>
          <w:noProof/>
          <w:sz w:val="24"/>
          <w:szCs w:val="24"/>
          <w:lang w:val="es-CO"/>
        </w:rPr>
        <w:t>1.</w:t>
      </w:r>
      <w:r w:rsidRPr="005F6061">
        <w:rPr>
          <w:b w:val="0"/>
          <w:caps w:val="0"/>
          <w:noProof/>
          <w:sz w:val="24"/>
          <w:szCs w:val="24"/>
          <w:lang w:val="es-ES"/>
        </w:rPr>
        <w:tab/>
      </w:r>
      <w:r w:rsidRPr="005F6061">
        <w:rPr>
          <w:noProof/>
          <w:sz w:val="24"/>
          <w:szCs w:val="24"/>
          <w:lang w:val="es-CO"/>
        </w:rPr>
        <w:t>INTRODUCCIÓN</w:t>
      </w:r>
      <w:r w:rsidRPr="005F6061">
        <w:rPr>
          <w:noProof/>
          <w:sz w:val="24"/>
          <w:szCs w:val="24"/>
        </w:rPr>
        <w:tab/>
      </w:r>
      <w:r w:rsidRPr="005F6061">
        <w:rPr>
          <w:noProof/>
          <w:sz w:val="24"/>
          <w:szCs w:val="24"/>
        </w:rPr>
        <w:fldChar w:fldCharType="begin"/>
      </w:r>
      <w:r w:rsidRPr="005F6061">
        <w:rPr>
          <w:noProof/>
          <w:sz w:val="24"/>
          <w:szCs w:val="24"/>
        </w:rPr>
        <w:instrText xml:space="preserve"> PAGEREF _Toc239743947 \h </w:instrText>
      </w:r>
      <w:r w:rsidRPr="005F6061">
        <w:rPr>
          <w:noProof/>
          <w:sz w:val="24"/>
          <w:szCs w:val="24"/>
        </w:rPr>
      </w:r>
      <w:r w:rsidRPr="005F6061">
        <w:rPr>
          <w:noProof/>
          <w:sz w:val="24"/>
          <w:szCs w:val="24"/>
        </w:rPr>
        <w:fldChar w:fldCharType="separate"/>
      </w:r>
      <w:r w:rsidR="004019D8">
        <w:rPr>
          <w:noProof/>
          <w:sz w:val="24"/>
          <w:szCs w:val="24"/>
        </w:rPr>
        <w:t>4</w:t>
      </w:r>
      <w:r w:rsidRPr="005F6061">
        <w:rPr>
          <w:noProof/>
          <w:sz w:val="24"/>
          <w:szCs w:val="24"/>
        </w:rPr>
        <w:fldChar w:fldCharType="end"/>
      </w:r>
    </w:p>
    <w:p w:rsidR="005F6061" w:rsidRPr="005F6061" w:rsidRDefault="005F6061" w:rsidP="005F6061">
      <w:pPr>
        <w:pStyle w:val="TDC1"/>
        <w:tabs>
          <w:tab w:val="left" w:pos="1080"/>
          <w:tab w:val="right" w:leader="dot" w:pos="8834"/>
        </w:tabs>
        <w:rPr>
          <w:b w:val="0"/>
          <w:caps w:val="0"/>
          <w:noProof/>
          <w:sz w:val="24"/>
          <w:szCs w:val="24"/>
          <w:lang w:val="es-ES"/>
        </w:rPr>
      </w:pPr>
      <w:r w:rsidRPr="005F6061">
        <w:rPr>
          <w:noProof/>
          <w:sz w:val="24"/>
          <w:szCs w:val="24"/>
          <w:lang w:val="es-CO"/>
        </w:rPr>
        <w:t>2.</w:t>
      </w:r>
      <w:r w:rsidRPr="005F6061">
        <w:rPr>
          <w:b w:val="0"/>
          <w:caps w:val="0"/>
          <w:noProof/>
          <w:sz w:val="24"/>
          <w:szCs w:val="24"/>
          <w:lang w:val="es-ES"/>
        </w:rPr>
        <w:tab/>
      </w:r>
      <w:r w:rsidRPr="005F6061">
        <w:rPr>
          <w:noProof/>
          <w:sz w:val="24"/>
          <w:szCs w:val="24"/>
          <w:lang w:val="es-CO"/>
        </w:rPr>
        <w:t>CARACTERIZACIÓN DEL PROCESO</w:t>
      </w:r>
      <w:r w:rsidRPr="005F6061">
        <w:rPr>
          <w:noProof/>
          <w:sz w:val="24"/>
          <w:szCs w:val="24"/>
        </w:rPr>
        <w:tab/>
      </w:r>
      <w:r w:rsidRPr="005F6061">
        <w:rPr>
          <w:noProof/>
          <w:sz w:val="24"/>
          <w:szCs w:val="24"/>
        </w:rPr>
        <w:fldChar w:fldCharType="begin"/>
      </w:r>
      <w:r w:rsidRPr="005F6061">
        <w:rPr>
          <w:noProof/>
          <w:sz w:val="24"/>
          <w:szCs w:val="24"/>
        </w:rPr>
        <w:instrText xml:space="preserve"> PAGEREF _Toc239743948 \h </w:instrText>
      </w:r>
      <w:r w:rsidRPr="005F6061">
        <w:rPr>
          <w:noProof/>
          <w:sz w:val="24"/>
          <w:szCs w:val="24"/>
        </w:rPr>
      </w:r>
      <w:r w:rsidRPr="005F6061">
        <w:rPr>
          <w:noProof/>
          <w:sz w:val="24"/>
          <w:szCs w:val="24"/>
        </w:rPr>
        <w:fldChar w:fldCharType="separate"/>
      </w:r>
      <w:r w:rsidR="004019D8">
        <w:rPr>
          <w:noProof/>
          <w:sz w:val="24"/>
          <w:szCs w:val="24"/>
        </w:rPr>
        <w:t>5</w:t>
      </w:r>
      <w:r w:rsidRPr="005F6061">
        <w:rPr>
          <w:noProof/>
          <w:sz w:val="24"/>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2.1.</w:t>
      </w:r>
      <w:r w:rsidRPr="005F6061">
        <w:rPr>
          <w:smallCaps w:val="0"/>
          <w:noProof/>
          <w:szCs w:val="24"/>
          <w:lang w:val="es-ES"/>
        </w:rPr>
        <w:tab/>
      </w:r>
      <w:r w:rsidRPr="005F6061">
        <w:rPr>
          <w:noProof/>
          <w:szCs w:val="24"/>
          <w:lang w:val="es-CO"/>
        </w:rPr>
        <w:t>OBJETIVO</w:t>
      </w:r>
      <w:r w:rsidRPr="005F6061">
        <w:rPr>
          <w:noProof/>
          <w:szCs w:val="24"/>
        </w:rPr>
        <w:tab/>
      </w:r>
      <w:r w:rsidRPr="005F6061">
        <w:rPr>
          <w:noProof/>
          <w:szCs w:val="24"/>
        </w:rPr>
        <w:fldChar w:fldCharType="begin"/>
      </w:r>
      <w:r w:rsidRPr="005F6061">
        <w:rPr>
          <w:noProof/>
          <w:szCs w:val="24"/>
        </w:rPr>
        <w:instrText xml:space="preserve"> PAGEREF _Toc239743949 \h </w:instrText>
      </w:r>
      <w:r w:rsidRPr="005F6061">
        <w:rPr>
          <w:noProof/>
          <w:szCs w:val="24"/>
        </w:rPr>
      </w:r>
      <w:r w:rsidRPr="005F6061">
        <w:rPr>
          <w:noProof/>
          <w:szCs w:val="24"/>
        </w:rPr>
        <w:fldChar w:fldCharType="separate"/>
      </w:r>
      <w:r w:rsidR="004019D8">
        <w:rPr>
          <w:noProof/>
          <w:szCs w:val="24"/>
        </w:rPr>
        <w:t>5</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2.2.</w:t>
      </w:r>
      <w:r w:rsidRPr="005F6061">
        <w:rPr>
          <w:smallCaps w:val="0"/>
          <w:noProof/>
          <w:szCs w:val="24"/>
          <w:lang w:val="es-ES"/>
        </w:rPr>
        <w:tab/>
      </w:r>
      <w:r w:rsidRPr="005F6061">
        <w:rPr>
          <w:noProof/>
          <w:szCs w:val="24"/>
          <w:lang w:val="es-CO"/>
        </w:rPr>
        <w:t>ALCANCE</w:t>
      </w:r>
      <w:r w:rsidRPr="005F6061">
        <w:rPr>
          <w:noProof/>
          <w:szCs w:val="24"/>
        </w:rPr>
        <w:tab/>
      </w:r>
      <w:r w:rsidRPr="005F6061">
        <w:rPr>
          <w:noProof/>
          <w:szCs w:val="24"/>
        </w:rPr>
        <w:fldChar w:fldCharType="begin"/>
      </w:r>
      <w:r w:rsidRPr="005F6061">
        <w:rPr>
          <w:noProof/>
          <w:szCs w:val="24"/>
        </w:rPr>
        <w:instrText xml:space="preserve"> PAGEREF _Toc239743950 \h </w:instrText>
      </w:r>
      <w:r w:rsidRPr="005F6061">
        <w:rPr>
          <w:noProof/>
          <w:szCs w:val="24"/>
        </w:rPr>
      </w:r>
      <w:r w:rsidRPr="005F6061">
        <w:rPr>
          <w:noProof/>
          <w:szCs w:val="24"/>
        </w:rPr>
        <w:fldChar w:fldCharType="separate"/>
      </w:r>
      <w:r w:rsidR="004019D8">
        <w:rPr>
          <w:noProof/>
          <w:szCs w:val="24"/>
        </w:rPr>
        <w:t>5</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2.3.</w:t>
      </w:r>
      <w:r w:rsidRPr="005F6061">
        <w:rPr>
          <w:smallCaps w:val="0"/>
          <w:noProof/>
          <w:szCs w:val="24"/>
          <w:lang w:val="es-ES"/>
        </w:rPr>
        <w:tab/>
      </w:r>
      <w:r w:rsidRPr="005F6061">
        <w:rPr>
          <w:noProof/>
          <w:szCs w:val="24"/>
          <w:lang w:val="es-CO"/>
        </w:rPr>
        <w:t>NORMATIVIDAD y POLÍTICAS</w:t>
      </w:r>
      <w:r w:rsidRPr="005F6061">
        <w:rPr>
          <w:noProof/>
          <w:szCs w:val="24"/>
        </w:rPr>
        <w:tab/>
      </w:r>
      <w:r w:rsidRPr="005F6061">
        <w:rPr>
          <w:noProof/>
          <w:szCs w:val="24"/>
        </w:rPr>
        <w:fldChar w:fldCharType="begin"/>
      </w:r>
      <w:r w:rsidRPr="005F6061">
        <w:rPr>
          <w:noProof/>
          <w:szCs w:val="24"/>
        </w:rPr>
        <w:instrText xml:space="preserve"> PAGEREF _Toc239743951 \h </w:instrText>
      </w:r>
      <w:r w:rsidRPr="005F6061">
        <w:rPr>
          <w:noProof/>
          <w:szCs w:val="24"/>
        </w:rPr>
      </w:r>
      <w:r w:rsidRPr="005F6061">
        <w:rPr>
          <w:noProof/>
          <w:szCs w:val="24"/>
        </w:rPr>
        <w:fldChar w:fldCharType="separate"/>
      </w:r>
      <w:r w:rsidR="004019D8">
        <w:rPr>
          <w:noProof/>
          <w:szCs w:val="24"/>
        </w:rPr>
        <w:t>5</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2.4.</w:t>
      </w:r>
      <w:r w:rsidRPr="005F6061">
        <w:rPr>
          <w:smallCaps w:val="0"/>
          <w:noProof/>
          <w:szCs w:val="24"/>
          <w:lang w:val="es-ES"/>
        </w:rPr>
        <w:tab/>
      </w:r>
      <w:r w:rsidRPr="005F6061">
        <w:rPr>
          <w:noProof/>
          <w:szCs w:val="24"/>
          <w:lang w:val="es-CO"/>
        </w:rPr>
        <w:t>RESPONSABLE / LÍDER DEL PROCESO</w:t>
      </w:r>
      <w:r w:rsidRPr="005F6061">
        <w:rPr>
          <w:noProof/>
          <w:szCs w:val="24"/>
        </w:rPr>
        <w:tab/>
      </w:r>
      <w:r w:rsidRPr="005F6061">
        <w:rPr>
          <w:noProof/>
          <w:szCs w:val="24"/>
        </w:rPr>
        <w:fldChar w:fldCharType="begin"/>
      </w:r>
      <w:r w:rsidRPr="005F6061">
        <w:rPr>
          <w:noProof/>
          <w:szCs w:val="24"/>
        </w:rPr>
        <w:instrText xml:space="preserve"> PAGEREF _Toc239743952 \h </w:instrText>
      </w:r>
      <w:r w:rsidRPr="005F6061">
        <w:rPr>
          <w:noProof/>
          <w:szCs w:val="24"/>
        </w:rPr>
      </w:r>
      <w:r w:rsidRPr="005F6061">
        <w:rPr>
          <w:noProof/>
          <w:szCs w:val="24"/>
        </w:rPr>
        <w:fldChar w:fldCharType="separate"/>
      </w:r>
      <w:r w:rsidR="004019D8">
        <w:rPr>
          <w:noProof/>
          <w:szCs w:val="24"/>
        </w:rPr>
        <w:t>9</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2.5.</w:t>
      </w:r>
      <w:r w:rsidRPr="005F6061">
        <w:rPr>
          <w:smallCaps w:val="0"/>
          <w:noProof/>
          <w:szCs w:val="24"/>
          <w:lang w:val="es-ES"/>
        </w:rPr>
        <w:tab/>
      </w:r>
      <w:r w:rsidRPr="005F6061">
        <w:rPr>
          <w:noProof/>
          <w:szCs w:val="24"/>
          <w:lang w:val="es-CO"/>
        </w:rPr>
        <w:t>SUBPROCESOS</w:t>
      </w:r>
      <w:r w:rsidRPr="005F6061">
        <w:rPr>
          <w:noProof/>
          <w:szCs w:val="24"/>
        </w:rPr>
        <w:tab/>
      </w:r>
      <w:r w:rsidRPr="005F6061">
        <w:rPr>
          <w:noProof/>
          <w:szCs w:val="24"/>
        </w:rPr>
        <w:fldChar w:fldCharType="begin"/>
      </w:r>
      <w:r w:rsidRPr="005F6061">
        <w:rPr>
          <w:noProof/>
          <w:szCs w:val="24"/>
        </w:rPr>
        <w:instrText xml:space="preserve"> PAGEREF _Toc239743953 \h </w:instrText>
      </w:r>
      <w:r w:rsidRPr="005F6061">
        <w:rPr>
          <w:noProof/>
          <w:szCs w:val="24"/>
        </w:rPr>
      </w:r>
      <w:r w:rsidRPr="005F6061">
        <w:rPr>
          <w:noProof/>
          <w:szCs w:val="24"/>
        </w:rPr>
        <w:fldChar w:fldCharType="separate"/>
      </w:r>
      <w:r w:rsidR="004019D8">
        <w:rPr>
          <w:noProof/>
          <w:szCs w:val="24"/>
        </w:rPr>
        <w:t>9</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2.6.</w:t>
      </w:r>
      <w:r w:rsidRPr="005F6061">
        <w:rPr>
          <w:smallCaps w:val="0"/>
          <w:noProof/>
          <w:szCs w:val="24"/>
          <w:lang w:val="es-ES"/>
        </w:rPr>
        <w:tab/>
      </w:r>
      <w:r w:rsidRPr="005F6061">
        <w:rPr>
          <w:noProof/>
          <w:szCs w:val="24"/>
          <w:lang w:val="es-CO"/>
        </w:rPr>
        <w:t>PROVEEDORES E INSUMOS (INFORMES /REGISTROS /DOCUMENTOS)</w:t>
      </w:r>
      <w:r w:rsidRPr="005F6061">
        <w:rPr>
          <w:noProof/>
          <w:szCs w:val="24"/>
        </w:rPr>
        <w:tab/>
      </w:r>
      <w:r w:rsidRPr="005F6061">
        <w:rPr>
          <w:noProof/>
          <w:szCs w:val="24"/>
        </w:rPr>
        <w:fldChar w:fldCharType="begin"/>
      </w:r>
      <w:r w:rsidRPr="005F6061">
        <w:rPr>
          <w:noProof/>
          <w:szCs w:val="24"/>
        </w:rPr>
        <w:instrText xml:space="preserve"> PAGEREF _Toc239743954 \h </w:instrText>
      </w:r>
      <w:r w:rsidRPr="005F6061">
        <w:rPr>
          <w:noProof/>
          <w:szCs w:val="24"/>
        </w:rPr>
      </w:r>
      <w:r w:rsidRPr="005F6061">
        <w:rPr>
          <w:noProof/>
          <w:szCs w:val="24"/>
        </w:rPr>
        <w:fldChar w:fldCharType="separate"/>
      </w:r>
      <w:r w:rsidR="004019D8">
        <w:rPr>
          <w:noProof/>
          <w:szCs w:val="24"/>
        </w:rPr>
        <w:t>9</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2.7.</w:t>
      </w:r>
      <w:r w:rsidRPr="005F6061">
        <w:rPr>
          <w:smallCaps w:val="0"/>
          <w:noProof/>
          <w:szCs w:val="24"/>
          <w:lang w:val="es-ES"/>
        </w:rPr>
        <w:tab/>
      </w:r>
      <w:r w:rsidRPr="005F6061">
        <w:rPr>
          <w:noProof/>
          <w:szCs w:val="24"/>
          <w:lang w:val="es-CO"/>
        </w:rPr>
        <w:t>CLIENTES Y PRODUCTOS (INFORMES / REGISTROS / DOCUMENTOS)</w:t>
      </w:r>
      <w:r w:rsidRPr="005F6061">
        <w:rPr>
          <w:noProof/>
          <w:szCs w:val="24"/>
        </w:rPr>
        <w:tab/>
      </w:r>
      <w:r w:rsidRPr="005F6061">
        <w:rPr>
          <w:noProof/>
          <w:szCs w:val="24"/>
        </w:rPr>
        <w:fldChar w:fldCharType="begin"/>
      </w:r>
      <w:r w:rsidRPr="005F6061">
        <w:rPr>
          <w:noProof/>
          <w:szCs w:val="24"/>
        </w:rPr>
        <w:instrText xml:space="preserve"> PAGEREF _Toc239743955 \h </w:instrText>
      </w:r>
      <w:r w:rsidRPr="005F6061">
        <w:rPr>
          <w:noProof/>
          <w:szCs w:val="24"/>
        </w:rPr>
      </w:r>
      <w:r w:rsidRPr="005F6061">
        <w:rPr>
          <w:noProof/>
          <w:szCs w:val="24"/>
        </w:rPr>
        <w:fldChar w:fldCharType="separate"/>
      </w:r>
      <w:r w:rsidR="004019D8">
        <w:rPr>
          <w:noProof/>
          <w:szCs w:val="24"/>
        </w:rPr>
        <w:t>10</w:t>
      </w:r>
      <w:r w:rsidRPr="005F6061">
        <w:rPr>
          <w:noProof/>
          <w:szCs w:val="24"/>
        </w:rPr>
        <w:fldChar w:fldCharType="end"/>
      </w:r>
    </w:p>
    <w:p w:rsidR="005F6061" w:rsidRPr="005F6061" w:rsidRDefault="005F6061" w:rsidP="005F6061">
      <w:pPr>
        <w:pStyle w:val="TDC2"/>
        <w:tabs>
          <w:tab w:val="left" w:pos="1080"/>
          <w:tab w:val="right" w:leader="dot" w:pos="8834"/>
        </w:tabs>
        <w:rPr>
          <w:smallCaps w:val="0"/>
          <w:noProof/>
          <w:szCs w:val="24"/>
          <w:lang w:val="es-ES"/>
        </w:rPr>
      </w:pPr>
      <w:r w:rsidRPr="005F6061">
        <w:rPr>
          <w:noProof/>
          <w:szCs w:val="24"/>
          <w:lang w:val="es-CO"/>
        </w:rPr>
        <w:t>2.8.</w:t>
      </w:r>
      <w:r w:rsidRPr="005F6061">
        <w:rPr>
          <w:smallCaps w:val="0"/>
          <w:noProof/>
          <w:szCs w:val="24"/>
          <w:lang w:val="es-ES"/>
        </w:rPr>
        <w:tab/>
      </w:r>
      <w:r w:rsidRPr="005F6061">
        <w:rPr>
          <w:noProof/>
          <w:szCs w:val="24"/>
          <w:lang w:val="es-CO"/>
        </w:rPr>
        <w:t>INDICADORES DE GESTIÓN / SEGUIMIENTO</w:t>
      </w:r>
      <w:r w:rsidRPr="005F6061">
        <w:rPr>
          <w:noProof/>
          <w:szCs w:val="24"/>
        </w:rPr>
        <w:tab/>
      </w:r>
      <w:r w:rsidRPr="005F6061">
        <w:rPr>
          <w:noProof/>
          <w:szCs w:val="24"/>
        </w:rPr>
        <w:fldChar w:fldCharType="begin"/>
      </w:r>
      <w:r w:rsidRPr="005F6061">
        <w:rPr>
          <w:noProof/>
          <w:szCs w:val="24"/>
        </w:rPr>
        <w:instrText xml:space="preserve"> PAGEREF _Toc239743956 \h </w:instrText>
      </w:r>
      <w:r w:rsidRPr="005F6061">
        <w:rPr>
          <w:noProof/>
          <w:szCs w:val="24"/>
        </w:rPr>
      </w:r>
      <w:r w:rsidRPr="005F6061">
        <w:rPr>
          <w:noProof/>
          <w:szCs w:val="24"/>
        </w:rPr>
        <w:fldChar w:fldCharType="separate"/>
      </w:r>
      <w:r w:rsidR="004019D8">
        <w:rPr>
          <w:noProof/>
          <w:szCs w:val="24"/>
        </w:rPr>
        <w:t>11</w:t>
      </w:r>
      <w:r w:rsidRPr="005F6061">
        <w:rPr>
          <w:noProof/>
          <w:szCs w:val="24"/>
        </w:rPr>
        <w:fldChar w:fldCharType="end"/>
      </w:r>
    </w:p>
    <w:p w:rsidR="005F6061" w:rsidRPr="005F6061" w:rsidRDefault="005F6061" w:rsidP="005F6061">
      <w:pPr>
        <w:pStyle w:val="TDC1"/>
        <w:tabs>
          <w:tab w:val="left" w:pos="1080"/>
          <w:tab w:val="right" w:leader="dot" w:pos="8834"/>
        </w:tabs>
        <w:rPr>
          <w:b w:val="0"/>
          <w:caps w:val="0"/>
          <w:noProof/>
          <w:sz w:val="24"/>
          <w:szCs w:val="24"/>
          <w:lang w:val="es-ES"/>
        </w:rPr>
      </w:pPr>
      <w:r w:rsidRPr="005F6061">
        <w:rPr>
          <w:noProof/>
          <w:sz w:val="24"/>
          <w:szCs w:val="24"/>
          <w:lang w:val="es-CO"/>
        </w:rPr>
        <w:t>3.</w:t>
      </w:r>
      <w:r w:rsidRPr="005F6061">
        <w:rPr>
          <w:b w:val="0"/>
          <w:caps w:val="0"/>
          <w:noProof/>
          <w:sz w:val="24"/>
          <w:szCs w:val="24"/>
          <w:lang w:val="es-ES"/>
        </w:rPr>
        <w:tab/>
      </w:r>
      <w:r w:rsidRPr="005F6061">
        <w:rPr>
          <w:noProof/>
          <w:sz w:val="24"/>
          <w:szCs w:val="24"/>
          <w:lang w:val="es-CO"/>
        </w:rPr>
        <w:t>ANEXO 1”INDICADORES DEL PROCESO”</w:t>
      </w:r>
      <w:r w:rsidRPr="005F6061">
        <w:rPr>
          <w:noProof/>
          <w:sz w:val="24"/>
          <w:szCs w:val="24"/>
        </w:rPr>
        <w:tab/>
      </w:r>
      <w:r w:rsidRPr="005F6061">
        <w:rPr>
          <w:noProof/>
          <w:sz w:val="24"/>
          <w:szCs w:val="24"/>
        </w:rPr>
        <w:fldChar w:fldCharType="begin"/>
      </w:r>
      <w:r w:rsidRPr="005F6061">
        <w:rPr>
          <w:noProof/>
          <w:sz w:val="24"/>
          <w:szCs w:val="24"/>
        </w:rPr>
        <w:instrText xml:space="preserve"> PAGEREF _Toc239743957 \h </w:instrText>
      </w:r>
      <w:r w:rsidRPr="005F6061">
        <w:rPr>
          <w:noProof/>
          <w:sz w:val="24"/>
          <w:szCs w:val="24"/>
        </w:rPr>
      </w:r>
      <w:r w:rsidRPr="005F6061">
        <w:rPr>
          <w:noProof/>
          <w:sz w:val="24"/>
          <w:szCs w:val="24"/>
        </w:rPr>
        <w:fldChar w:fldCharType="separate"/>
      </w:r>
      <w:r w:rsidR="004019D8">
        <w:rPr>
          <w:noProof/>
          <w:sz w:val="24"/>
          <w:szCs w:val="24"/>
        </w:rPr>
        <w:t>12</w:t>
      </w:r>
      <w:r w:rsidRPr="005F6061">
        <w:rPr>
          <w:noProof/>
          <w:sz w:val="24"/>
          <w:szCs w:val="24"/>
        </w:rPr>
        <w:fldChar w:fldCharType="end"/>
      </w:r>
    </w:p>
    <w:p w:rsidR="005F6061" w:rsidRPr="005F6061" w:rsidRDefault="005F6061" w:rsidP="005F6061">
      <w:pPr>
        <w:rPr>
          <w:rFonts w:ascii="Times New Roman" w:hAnsi="Times New Roman" w:cs="Times New Roman"/>
          <w:sz w:val="24"/>
          <w:szCs w:val="24"/>
        </w:rPr>
      </w:pPr>
      <w:r w:rsidRPr="005F6061">
        <w:rPr>
          <w:rFonts w:ascii="Times New Roman" w:hAnsi="Times New Roman" w:cs="Times New Roman"/>
          <w:b/>
          <w:bCs/>
          <w:caps/>
          <w:sz w:val="24"/>
          <w:szCs w:val="24"/>
        </w:rPr>
        <w:fldChar w:fldCharType="end"/>
      </w:r>
    </w:p>
    <w:p w:rsidR="005F6061" w:rsidRPr="005F6061" w:rsidRDefault="005F6061" w:rsidP="005F6061">
      <w:pPr>
        <w:pStyle w:val="Ttulo1"/>
        <w:tabs>
          <w:tab w:val="clear" w:pos="504"/>
          <w:tab w:val="num" w:pos="774"/>
        </w:tabs>
        <w:ind w:left="774"/>
        <w:rPr>
          <w:sz w:val="24"/>
          <w:szCs w:val="24"/>
          <w:lang w:val="es-CO"/>
        </w:rPr>
      </w:pPr>
      <w:bookmarkStart w:id="1" w:name="_Toc29287471"/>
      <w:r w:rsidRPr="005F6061">
        <w:rPr>
          <w:sz w:val="24"/>
          <w:szCs w:val="24"/>
          <w:lang w:val="es-CO"/>
        </w:rPr>
        <w:br w:type="page"/>
      </w:r>
      <w:bookmarkStart w:id="2" w:name="_Toc101837904"/>
      <w:bookmarkStart w:id="3" w:name="_Toc239743947"/>
      <w:r w:rsidRPr="005F6061">
        <w:rPr>
          <w:sz w:val="24"/>
          <w:szCs w:val="24"/>
          <w:lang w:val="es-CO"/>
        </w:rPr>
        <w:lastRenderedPageBreak/>
        <w:t>INTRODUCCIÓN</w:t>
      </w:r>
      <w:bookmarkEnd w:id="1"/>
      <w:bookmarkEnd w:id="2"/>
      <w:bookmarkEnd w:id="3"/>
    </w:p>
    <w:p w:rsidR="005F6061" w:rsidRPr="005F6061" w:rsidRDefault="005F6061" w:rsidP="005F6061">
      <w:pPr>
        <w:jc w:val="both"/>
        <w:rPr>
          <w:rFonts w:ascii="Times New Roman" w:hAnsi="Times New Roman" w:cs="Times New Roman"/>
          <w:sz w:val="24"/>
          <w:szCs w:val="24"/>
        </w:rPr>
      </w:pPr>
      <w:r w:rsidRPr="005F6061">
        <w:rPr>
          <w:rFonts w:ascii="Times New Roman" w:hAnsi="Times New Roman" w:cs="Times New Roman"/>
          <w:sz w:val="24"/>
          <w:szCs w:val="24"/>
        </w:rPr>
        <w:t>Este documento permite conocer en forma descriptiva la composición del proceso, así mismo, dentro de la caracterización se define su objetivo y alcance, la normatividad y las políticas que lo rigen.</w:t>
      </w:r>
    </w:p>
    <w:p w:rsidR="005F6061" w:rsidRPr="005F6061" w:rsidRDefault="005F6061" w:rsidP="005F6061">
      <w:pPr>
        <w:jc w:val="both"/>
        <w:rPr>
          <w:rFonts w:ascii="Times New Roman" w:hAnsi="Times New Roman" w:cs="Times New Roman"/>
          <w:sz w:val="24"/>
          <w:szCs w:val="24"/>
        </w:rPr>
      </w:pPr>
      <w:r w:rsidRPr="005F6061">
        <w:rPr>
          <w:rFonts w:ascii="Times New Roman" w:hAnsi="Times New Roman" w:cs="Times New Roman"/>
          <w:sz w:val="24"/>
          <w:szCs w:val="24"/>
        </w:rPr>
        <w:t>Adicionalmente, en este documento podremos encontrar los subprocesos que conforman el proceso, a través de los cuales se ejecutan las actividades con las que se da cumplimiento a la normatividad, determinando el origen (proveedores e insumos que alimentan el proceso) y el destino (clientes y productos del proceso) de la información.</w:t>
      </w:r>
    </w:p>
    <w:p w:rsidR="005F6061" w:rsidRPr="005F6061" w:rsidRDefault="005F6061" w:rsidP="005F6061">
      <w:pPr>
        <w:jc w:val="both"/>
        <w:rPr>
          <w:rFonts w:ascii="Times New Roman" w:hAnsi="Times New Roman" w:cs="Times New Roman"/>
          <w:sz w:val="24"/>
          <w:szCs w:val="24"/>
        </w:rPr>
      </w:pPr>
      <w:r w:rsidRPr="005F6061">
        <w:rPr>
          <w:rFonts w:ascii="Times New Roman" w:hAnsi="Times New Roman" w:cs="Times New Roman"/>
          <w:sz w:val="24"/>
          <w:szCs w:val="24"/>
        </w:rPr>
        <w:t>De igual manera se determina quien debe asegurar, “líder y/o responsable del proceso”, que lo descrito en la caracterización corresponda con la realidad.   Por otra parte, se establecen los indicadores que permitirán hacer seguimiento a la evolución del proceso a fin de identificar mejoras.</w:t>
      </w:r>
    </w:p>
    <w:p w:rsidR="005F6061" w:rsidRPr="005F6061" w:rsidRDefault="005F6061" w:rsidP="005F6061">
      <w:pPr>
        <w:rPr>
          <w:rFonts w:ascii="Times New Roman" w:hAnsi="Times New Roman" w:cs="Times New Roman"/>
          <w:sz w:val="24"/>
          <w:szCs w:val="24"/>
        </w:rPr>
      </w:pPr>
    </w:p>
    <w:p w:rsidR="005F6061" w:rsidRPr="005F6061" w:rsidRDefault="005F6061" w:rsidP="005F6061">
      <w:pPr>
        <w:rPr>
          <w:rFonts w:ascii="Times New Roman" w:hAnsi="Times New Roman" w:cs="Times New Roman"/>
          <w:sz w:val="24"/>
          <w:szCs w:val="24"/>
        </w:rPr>
      </w:pPr>
      <w:r w:rsidRPr="005F6061">
        <w:rPr>
          <w:rFonts w:ascii="Times New Roman" w:hAnsi="Times New Roman" w:cs="Times New Roman"/>
          <w:sz w:val="24"/>
          <w:szCs w:val="24"/>
        </w:rPr>
        <w:br w:type="page"/>
      </w:r>
    </w:p>
    <w:p w:rsidR="005F6061" w:rsidRPr="005F6061" w:rsidRDefault="005F6061" w:rsidP="005F6061">
      <w:pPr>
        <w:rPr>
          <w:rFonts w:ascii="Times New Roman" w:hAnsi="Times New Roman" w:cs="Times New Roman"/>
          <w:sz w:val="24"/>
          <w:szCs w:val="24"/>
        </w:rPr>
      </w:pPr>
    </w:p>
    <w:p w:rsidR="005F6061" w:rsidRPr="005F6061" w:rsidRDefault="005F6061" w:rsidP="005F6061">
      <w:pPr>
        <w:pStyle w:val="Ttulo1"/>
        <w:tabs>
          <w:tab w:val="clear" w:pos="504"/>
          <w:tab w:val="num" w:pos="774"/>
        </w:tabs>
        <w:ind w:left="774"/>
        <w:rPr>
          <w:sz w:val="24"/>
          <w:szCs w:val="24"/>
          <w:lang w:val="es-CO"/>
        </w:rPr>
      </w:pPr>
      <w:bookmarkStart w:id="4" w:name="_Toc101837906"/>
      <w:bookmarkStart w:id="5" w:name="_Toc239743948"/>
      <w:r>
        <w:rPr>
          <w:sz w:val="24"/>
          <w:szCs w:val="24"/>
          <w:lang w:val="es-CO"/>
        </w:rPr>
        <w:t>C</w:t>
      </w:r>
      <w:r w:rsidRPr="005F6061">
        <w:rPr>
          <w:sz w:val="24"/>
          <w:szCs w:val="24"/>
          <w:lang w:val="es-CO"/>
        </w:rPr>
        <w:t>ARACTERIZACIÓN DEL PROCESO</w:t>
      </w:r>
      <w:bookmarkEnd w:id="4"/>
      <w:bookmarkEnd w:id="5"/>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F6061" w:rsidRPr="005F6061" w:rsidTr="00885262">
        <w:trPr>
          <w:tblHeader/>
        </w:trPr>
        <w:tc>
          <w:tcPr>
            <w:tcW w:w="9610" w:type="dxa"/>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6" w:name="_Toc239743949"/>
            <w:r w:rsidRPr="005F6061">
              <w:rPr>
                <w:sz w:val="24"/>
                <w:szCs w:val="24"/>
                <w:lang w:val="es-CO"/>
              </w:rPr>
              <w:t>OBJETIVO</w:t>
            </w:r>
            <w:bookmarkEnd w:id="6"/>
          </w:p>
        </w:tc>
      </w:tr>
      <w:tr w:rsidR="005F6061" w:rsidRPr="005F6061" w:rsidTr="00885262">
        <w:trPr>
          <w:cantSplit/>
        </w:trPr>
        <w:tc>
          <w:tcPr>
            <w:tcW w:w="9610" w:type="dxa"/>
            <w:tcBorders>
              <w:top w:val="single" w:sz="18" w:space="0" w:color="auto"/>
              <w:bottom w:val="single" w:sz="18" w:space="0" w:color="auto"/>
            </w:tcBorders>
          </w:tcPr>
          <w:p w:rsidR="005F6061" w:rsidRPr="005F6061" w:rsidRDefault="005F6061" w:rsidP="00885262">
            <w:pPr>
              <w:rPr>
                <w:rFonts w:ascii="Times New Roman" w:hAnsi="Times New Roman" w:cs="Times New Roman"/>
                <w:bCs/>
                <w:sz w:val="24"/>
                <w:szCs w:val="24"/>
              </w:rPr>
            </w:pPr>
            <w:r w:rsidRPr="005F6061">
              <w:rPr>
                <w:rFonts w:ascii="Times New Roman" w:hAnsi="Times New Roman" w:cs="Times New Roman"/>
                <w:bCs/>
                <w:sz w:val="24"/>
                <w:szCs w:val="24"/>
              </w:rPr>
              <w:t>Hacer seguimiento, identificar inconsistencias y oportunidades de mejora a los procesos de Gestión de Cobertura del Servicio Educativo</w:t>
            </w:r>
          </w:p>
        </w:tc>
      </w:tr>
    </w:tbl>
    <w:p w:rsidR="005F6061" w:rsidRPr="005F6061" w:rsidRDefault="005F6061" w:rsidP="005F6061">
      <w:pPr>
        <w:rPr>
          <w:rFonts w:ascii="Times New Roman" w:hAnsi="Times New Roman" w:cs="Times New Roman"/>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F6061" w:rsidRPr="005F6061" w:rsidTr="00885262">
        <w:trPr>
          <w:tblHeader/>
        </w:trPr>
        <w:tc>
          <w:tcPr>
            <w:tcW w:w="9610" w:type="dxa"/>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7" w:name="_Toc239743950"/>
            <w:r w:rsidRPr="005F6061">
              <w:rPr>
                <w:sz w:val="24"/>
                <w:szCs w:val="24"/>
                <w:lang w:val="es-CO"/>
              </w:rPr>
              <w:t>ALCANCE</w:t>
            </w:r>
            <w:bookmarkEnd w:id="7"/>
          </w:p>
        </w:tc>
      </w:tr>
      <w:tr w:rsidR="005F6061" w:rsidRPr="005F6061" w:rsidTr="00885262">
        <w:trPr>
          <w:cantSplit/>
        </w:trPr>
        <w:tc>
          <w:tcPr>
            <w:tcW w:w="9610" w:type="dxa"/>
            <w:tcBorders>
              <w:top w:val="single" w:sz="18" w:space="0" w:color="auto"/>
              <w:bottom w:val="single" w:sz="18" w:space="0" w:color="auto"/>
            </w:tcBorders>
          </w:tcPr>
          <w:p w:rsidR="005F6061" w:rsidRPr="005F6061" w:rsidRDefault="005F6061" w:rsidP="00885262">
            <w:pPr>
              <w:spacing w:after="0"/>
              <w:jc w:val="both"/>
              <w:rPr>
                <w:rFonts w:ascii="Times New Roman" w:hAnsi="Times New Roman" w:cs="Times New Roman"/>
                <w:sz w:val="24"/>
                <w:szCs w:val="24"/>
              </w:rPr>
            </w:pPr>
            <w:r w:rsidRPr="005F6061">
              <w:rPr>
                <w:rFonts w:ascii="Times New Roman" w:hAnsi="Times New Roman" w:cs="Times New Roman"/>
                <w:sz w:val="24"/>
                <w:szCs w:val="24"/>
              </w:rPr>
              <w:t>Inicia con la planeación y organización de las auditorias a los procesos de Gestión de Cobertura del Servicio Educativo al interior de los Establecimientos Educativos, permite visualizar las inconsistencias y oportunidades de mejora en la ejecución de dicho Macroproceso  y termina con la actualización de los reportes consolidados de matrícula y su envío a la instancia superior Unidad desconcentrada (Dirección Zonal), SED, MEN)</w:t>
            </w:r>
          </w:p>
          <w:p w:rsidR="005F6061" w:rsidRPr="005F6061" w:rsidRDefault="005F6061" w:rsidP="00885262">
            <w:pPr>
              <w:spacing w:after="0"/>
              <w:jc w:val="both"/>
              <w:rPr>
                <w:rFonts w:ascii="Times New Roman" w:hAnsi="Times New Roman" w:cs="Times New Roman"/>
                <w:sz w:val="24"/>
                <w:szCs w:val="24"/>
              </w:rPr>
            </w:pPr>
          </w:p>
        </w:tc>
      </w:tr>
    </w:tbl>
    <w:p w:rsidR="005F6061" w:rsidRPr="005F6061" w:rsidRDefault="005F6061" w:rsidP="005F6061">
      <w:pPr>
        <w:rPr>
          <w:rFonts w:ascii="Times New Roman" w:hAnsi="Times New Roman" w:cs="Times New Roman"/>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0"/>
      </w:tblGrid>
      <w:tr w:rsidR="005F6061" w:rsidRPr="005F6061" w:rsidTr="00885262">
        <w:trPr>
          <w:tblHeader/>
        </w:trPr>
        <w:tc>
          <w:tcPr>
            <w:tcW w:w="9610" w:type="dxa"/>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8" w:name="_Toc239743951"/>
            <w:r w:rsidRPr="005F6061">
              <w:rPr>
                <w:sz w:val="24"/>
                <w:szCs w:val="24"/>
                <w:lang w:val="es-CO"/>
              </w:rPr>
              <w:t>NORMATIVIDAD y POLÍTICAS</w:t>
            </w:r>
            <w:bookmarkEnd w:id="8"/>
            <w:r w:rsidRPr="005F6061">
              <w:rPr>
                <w:sz w:val="24"/>
                <w:szCs w:val="24"/>
                <w:lang w:val="es-CO"/>
              </w:rPr>
              <w:t xml:space="preserve"> </w:t>
            </w:r>
          </w:p>
        </w:tc>
      </w:tr>
      <w:tr w:rsidR="005F6061" w:rsidRPr="005F6061" w:rsidTr="00885262">
        <w:tc>
          <w:tcPr>
            <w:tcW w:w="9610" w:type="dxa"/>
            <w:tcBorders>
              <w:top w:val="single" w:sz="18" w:space="0" w:color="auto"/>
              <w:bottom w:val="single" w:sz="18" w:space="0" w:color="auto"/>
            </w:tcBorders>
          </w:tcPr>
          <w:p w:rsidR="005F6061" w:rsidRPr="005F6061" w:rsidRDefault="005F6061" w:rsidP="00885262">
            <w:pPr>
              <w:rPr>
                <w:rFonts w:ascii="Times New Roman" w:hAnsi="Times New Roman" w:cs="Times New Roman"/>
                <w:b/>
                <w:bCs/>
                <w:i/>
                <w:sz w:val="24"/>
                <w:szCs w:val="24"/>
              </w:rPr>
            </w:pPr>
            <w:r w:rsidRPr="005F6061">
              <w:rPr>
                <w:rFonts w:ascii="Times New Roman" w:hAnsi="Times New Roman" w:cs="Times New Roman"/>
                <w:b/>
                <w:bCs/>
                <w:i/>
                <w:sz w:val="24"/>
                <w:szCs w:val="24"/>
              </w:rPr>
              <w:t>Normatividad</w:t>
            </w:r>
          </w:p>
          <w:p w:rsidR="005F6061" w:rsidRPr="005F6061" w:rsidRDefault="005F6061" w:rsidP="00885262">
            <w:pPr>
              <w:rPr>
                <w:rFonts w:ascii="Times New Roman" w:hAnsi="Times New Roman" w:cs="Times New Roman"/>
                <w:b/>
                <w:i/>
                <w:sz w:val="24"/>
                <w:szCs w:val="24"/>
              </w:rPr>
            </w:pPr>
            <w:r w:rsidRPr="005F6061">
              <w:rPr>
                <w:rFonts w:ascii="Times New Roman" w:hAnsi="Times New Roman" w:cs="Times New Roman"/>
                <w:b/>
                <w:i/>
                <w:sz w:val="24"/>
                <w:szCs w:val="24"/>
              </w:rPr>
              <w:t xml:space="preserve">La normatividad se refiere a las leyes, decretos y resoluciones que norman y reglamentan el proceso. </w:t>
            </w:r>
          </w:p>
          <w:p w:rsidR="005F6061" w:rsidRPr="005F6061" w:rsidRDefault="005F6061" w:rsidP="005F6061">
            <w:pPr>
              <w:numPr>
                <w:ilvl w:val="0"/>
                <w:numId w:val="2"/>
              </w:numPr>
              <w:spacing w:before="120" w:after="120" w:line="240" w:lineRule="auto"/>
              <w:rPr>
                <w:rFonts w:ascii="Times New Roman" w:hAnsi="Times New Roman" w:cs="Times New Roman"/>
                <w:bCs/>
                <w:sz w:val="24"/>
                <w:szCs w:val="24"/>
              </w:rPr>
            </w:pPr>
            <w:r w:rsidRPr="005F6061">
              <w:rPr>
                <w:rFonts w:ascii="Times New Roman" w:hAnsi="Times New Roman" w:cs="Times New Roman"/>
                <w:sz w:val="24"/>
                <w:szCs w:val="24"/>
              </w:rPr>
              <w:t xml:space="preserve">Constitución Política de Colombia de 1991. Artículo 67. La educación es un derecho de la persona y un servicio público que tiene una función social. </w:t>
            </w:r>
          </w:p>
          <w:p w:rsidR="005F6061" w:rsidRPr="005F6061" w:rsidRDefault="005F6061" w:rsidP="005F6061">
            <w:pPr>
              <w:numPr>
                <w:ilvl w:val="0"/>
                <w:numId w:val="2"/>
              </w:numPr>
              <w:spacing w:before="120" w:after="120" w:line="240" w:lineRule="auto"/>
              <w:ind w:left="714" w:hanging="357"/>
              <w:jc w:val="both"/>
              <w:rPr>
                <w:rFonts w:ascii="Times New Roman" w:hAnsi="Times New Roman" w:cs="Times New Roman"/>
                <w:bCs/>
                <w:sz w:val="24"/>
                <w:szCs w:val="24"/>
              </w:rPr>
            </w:pPr>
            <w:r w:rsidRPr="005F6061">
              <w:rPr>
                <w:rFonts w:ascii="Times New Roman" w:hAnsi="Times New Roman" w:cs="Times New Roman"/>
                <w:bCs/>
                <w:sz w:val="24"/>
                <w:szCs w:val="24"/>
              </w:rPr>
              <w:t xml:space="preserve">Ley 715 de 21 de diciembre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w:t>
            </w:r>
          </w:p>
          <w:p w:rsidR="005F6061" w:rsidRPr="005F6061" w:rsidRDefault="005F6061" w:rsidP="00885262">
            <w:pPr>
              <w:ind w:left="714"/>
              <w:jc w:val="both"/>
              <w:rPr>
                <w:rFonts w:ascii="Times New Roman" w:hAnsi="Times New Roman" w:cs="Times New Roman"/>
                <w:bCs/>
                <w:sz w:val="24"/>
                <w:szCs w:val="24"/>
              </w:rPr>
            </w:pPr>
            <w:r w:rsidRPr="005F6061">
              <w:rPr>
                <w:rFonts w:ascii="Times New Roman" w:hAnsi="Times New Roman" w:cs="Times New Roman"/>
                <w:bCs/>
                <w:sz w:val="24"/>
                <w:szCs w:val="24"/>
              </w:rPr>
              <w:t>Numeral 74.6. Competencias de las entidades territoriales en otros sectores: Realizar el seguimiento y la evaluación de la acción de los municipios y de la prestación de los servicios a cargo de estos e informar los resultados de la evaluación y seguimiento a la Nación, autoridades locales y a la comunidad.</w:t>
            </w:r>
          </w:p>
          <w:p w:rsidR="005F6061" w:rsidRPr="005F6061" w:rsidRDefault="005F6061" w:rsidP="005F6061">
            <w:pPr>
              <w:numPr>
                <w:ilvl w:val="0"/>
                <w:numId w:val="2"/>
              </w:numPr>
              <w:spacing w:before="120" w:after="120" w:line="240" w:lineRule="auto"/>
              <w:rPr>
                <w:rFonts w:ascii="Times New Roman" w:hAnsi="Times New Roman" w:cs="Times New Roman"/>
                <w:bCs/>
                <w:sz w:val="24"/>
                <w:szCs w:val="24"/>
              </w:rPr>
            </w:pPr>
            <w:r w:rsidRPr="005F6061">
              <w:rPr>
                <w:rFonts w:ascii="Times New Roman" w:hAnsi="Times New Roman" w:cs="Times New Roman"/>
                <w:bCs/>
                <w:sz w:val="24"/>
                <w:szCs w:val="24"/>
              </w:rPr>
              <w:lastRenderedPageBreak/>
              <w:t>Ley 115 de. 8 de febrero de 1994.</w:t>
            </w:r>
            <w:r w:rsidRPr="005F6061">
              <w:rPr>
                <w:rFonts w:ascii="Times New Roman" w:hAnsi="Times New Roman" w:cs="Times New Roman"/>
                <w:sz w:val="24"/>
                <w:szCs w:val="24"/>
              </w:rPr>
              <w:t xml:space="preserve"> </w:t>
            </w:r>
            <w:r w:rsidRPr="005F6061">
              <w:rPr>
                <w:rFonts w:ascii="Times New Roman" w:hAnsi="Times New Roman" w:cs="Times New Roman"/>
                <w:bCs/>
                <w:sz w:val="24"/>
                <w:szCs w:val="24"/>
              </w:rPr>
              <w:t>por la cual se expide la Ley General de Educación</w:t>
            </w:r>
          </w:p>
          <w:p w:rsidR="005F6061" w:rsidRPr="005F6061" w:rsidRDefault="005F6061" w:rsidP="005F6061">
            <w:pPr>
              <w:numPr>
                <w:ilvl w:val="0"/>
                <w:numId w:val="2"/>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bCs/>
                <w:sz w:val="24"/>
                <w:szCs w:val="24"/>
              </w:rPr>
              <w:t>Decreto 3011 de 19 de diciembre de 1997: Por el cual se establecen normas para el ofrecimiento de la educación de adultos y se dictan otras disposiciones.</w:t>
            </w:r>
          </w:p>
          <w:p w:rsidR="005F6061" w:rsidRPr="005F6061" w:rsidRDefault="005F6061" w:rsidP="005F6061">
            <w:pPr>
              <w:numPr>
                <w:ilvl w:val="0"/>
                <w:numId w:val="2"/>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sz w:val="24"/>
                <w:szCs w:val="24"/>
              </w:rPr>
              <w:t>Decreto 1860 del 3 de agosto de 1994. por el cual se reglamenta parcialmente la Ley 115 de 1994, en los aspectos pedagógicos y organizativos generales.</w:t>
            </w:r>
          </w:p>
          <w:p w:rsidR="005F6061" w:rsidRPr="005F6061" w:rsidRDefault="005F6061" w:rsidP="005F6061">
            <w:pPr>
              <w:numPr>
                <w:ilvl w:val="0"/>
                <w:numId w:val="2"/>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bCs/>
                <w:sz w:val="24"/>
                <w:szCs w:val="24"/>
              </w:rPr>
              <w:t>Decreto 1290 del 16 de abril de 2009.  Por el cual se reglamenta la evaluación del aprendizaje y promoción de los estudiantes de los niveles de educación básica y media.</w:t>
            </w:r>
          </w:p>
          <w:p w:rsidR="005F6061" w:rsidRPr="005F6061" w:rsidRDefault="005F6061" w:rsidP="005F6061">
            <w:pPr>
              <w:numPr>
                <w:ilvl w:val="0"/>
                <w:numId w:val="2"/>
              </w:numPr>
              <w:autoSpaceDE w:val="0"/>
              <w:autoSpaceDN w:val="0"/>
              <w:adjustRightInd w:val="0"/>
              <w:spacing w:after="0" w:line="240" w:lineRule="auto"/>
              <w:rPr>
                <w:rFonts w:ascii="Times New Roman" w:hAnsi="Times New Roman" w:cs="Times New Roman"/>
                <w:bCs/>
                <w:sz w:val="24"/>
                <w:szCs w:val="24"/>
              </w:rPr>
            </w:pPr>
            <w:r w:rsidRPr="005F6061">
              <w:rPr>
                <w:rFonts w:ascii="Times New Roman" w:hAnsi="Times New Roman" w:cs="Times New Roman"/>
                <w:sz w:val="24"/>
                <w:szCs w:val="24"/>
              </w:rPr>
              <w:t>Resolución MEN 166 del 4 de febrero de 2003. Por medio de la cual se establecen las condiciones del reporte de información para la implementación de la primera etapa del Sistema de Información del Sector educativo.</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Cs/>
                <w:sz w:val="24"/>
                <w:szCs w:val="24"/>
              </w:rPr>
            </w:pPr>
            <w:r w:rsidRPr="005F6061">
              <w:rPr>
                <w:rFonts w:ascii="Times New Roman" w:hAnsi="Times New Roman" w:cs="Times New Roman"/>
                <w:bCs/>
                <w:sz w:val="24"/>
                <w:szCs w:val="24"/>
              </w:rPr>
              <w:t xml:space="preserve">Resolución 5360 del 7 de septiembre de 2006.  Por la cual se organiza el proceso de matrícula oficial de la educación preescolar, básica y media en las entidades territoriales certificadas. </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Cs/>
                <w:sz w:val="24"/>
                <w:szCs w:val="24"/>
              </w:rPr>
            </w:pPr>
            <w:r w:rsidRPr="005F6061">
              <w:rPr>
                <w:rFonts w:ascii="Times New Roman" w:hAnsi="Times New Roman" w:cs="Times New Roman"/>
                <w:bCs/>
                <w:sz w:val="24"/>
                <w:szCs w:val="24"/>
              </w:rPr>
              <w:t>Resolución 2320  Por la cual se establecen directrices, criterios y procedimientos para la prestación del servicio educativo a niños, niñas y jóvenes desvinculados del conflicto armado y menores de edad hijos de personas desmovilizadas de grupos armados al margen de la ley.</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Cs/>
                <w:sz w:val="24"/>
                <w:szCs w:val="24"/>
              </w:rPr>
            </w:pPr>
            <w:r w:rsidRPr="005F6061">
              <w:rPr>
                <w:rFonts w:ascii="Times New Roman" w:hAnsi="Times New Roman" w:cs="Times New Roman"/>
                <w:bCs/>
                <w:sz w:val="24"/>
                <w:szCs w:val="24"/>
              </w:rPr>
              <w:t>Decreto 366 del 9 de febrero de 2009.   Por medio del cual se reglamenta la organización del servicio de apoyo pedagógico para la atención de los estudiantes con discapacidad o con capacidades excepcionales en el marco de la educación inclusiva.</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Cs/>
                <w:sz w:val="24"/>
                <w:szCs w:val="24"/>
              </w:rPr>
            </w:pPr>
            <w:r w:rsidRPr="005F6061">
              <w:rPr>
                <w:rFonts w:ascii="Times New Roman" w:hAnsi="Times New Roman" w:cs="Times New Roman"/>
                <w:bCs/>
                <w:sz w:val="24"/>
                <w:szCs w:val="24"/>
              </w:rPr>
              <w:t>Resolución 2620 de 1 de Septiembre de 2004. Por la cual se establecen directrices, criterios y procedimientos para la prestación del servicio educativo a niños, niñas y jóvenes desvinculados del conflicto armado y menores de edad hijos de personas desmovilizadas de grupos armados al margen de la ley.</w:t>
            </w:r>
          </w:p>
          <w:p w:rsidR="005F6061" w:rsidRPr="005F6061" w:rsidRDefault="005F6061" w:rsidP="005F6061">
            <w:pPr>
              <w:numPr>
                <w:ilvl w:val="0"/>
                <w:numId w:val="2"/>
              </w:numPr>
              <w:autoSpaceDE w:val="0"/>
              <w:autoSpaceDN w:val="0"/>
              <w:adjustRightInd w:val="0"/>
              <w:spacing w:after="0" w:line="240" w:lineRule="auto"/>
              <w:ind w:right="539"/>
              <w:jc w:val="both"/>
              <w:rPr>
                <w:rFonts w:ascii="Times New Roman" w:hAnsi="Times New Roman" w:cs="Times New Roman"/>
                <w:sz w:val="24"/>
                <w:szCs w:val="24"/>
              </w:rPr>
            </w:pPr>
            <w:r w:rsidRPr="005F6061">
              <w:rPr>
                <w:rFonts w:ascii="Times New Roman" w:hAnsi="Times New Roman" w:cs="Times New Roman"/>
                <w:bCs/>
                <w:sz w:val="24"/>
                <w:szCs w:val="24"/>
              </w:rPr>
              <w:t>Decreto 2562 de Noviembre 27 de 2001. por el cual se reglamenta la Ley 387 del 18 de julio de 1997, en cuanto a la prestación del servicio público educativo a la población desplazada por la violencia y se dictan otras disposiciones.</w:t>
            </w:r>
          </w:p>
          <w:p w:rsidR="005F6061" w:rsidRPr="005F6061" w:rsidRDefault="005F6061" w:rsidP="00885262">
            <w:pPr>
              <w:tabs>
                <w:tab w:val="num" w:pos="709"/>
              </w:tabs>
              <w:autoSpaceDE w:val="0"/>
              <w:autoSpaceDN w:val="0"/>
              <w:adjustRightInd w:val="0"/>
              <w:spacing w:after="0"/>
              <w:ind w:left="360" w:right="539"/>
              <w:jc w:val="both"/>
              <w:rPr>
                <w:rFonts w:ascii="Times New Roman" w:hAnsi="Times New Roman" w:cs="Times New Roman"/>
                <w:sz w:val="24"/>
                <w:szCs w:val="24"/>
              </w:rPr>
            </w:pPr>
          </w:p>
          <w:p w:rsidR="005F6061" w:rsidRPr="005F6061" w:rsidRDefault="005F6061" w:rsidP="005F6061">
            <w:pPr>
              <w:numPr>
                <w:ilvl w:val="0"/>
                <w:numId w:val="2"/>
              </w:numPr>
              <w:autoSpaceDE w:val="0"/>
              <w:autoSpaceDN w:val="0"/>
              <w:adjustRightInd w:val="0"/>
              <w:spacing w:after="0" w:line="240" w:lineRule="auto"/>
              <w:rPr>
                <w:rFonts w:ascii="Times New Roman" w:hAnsi="Times New Roman" w:cs="Times New Roman"/>
                <w:sz w:val="24"/>
                <w:szCs w:val="24"/>
              </w:rPr>
            </w:pPr>
            <w:r w:rsidRPr="005F6061">
              <w:rPr>
                <w:rFonts w:ascii="Times New Roman" w:hAnsi="Times New Roman" w:cs="Times New Roman"/>
                <w:bCs/>
                <w:sz w:val="24"/>
                <w:szCs w:val="24"/>
              </w:rPr>
              <w:t>Decreto 1526 Por el cual se reglamenta la administración del sistema de información del sector educativo</w:t>
            </w:r>
          </w:p>
          <w:p w:rsidR="005F6061" w:rsidRPr="005F6061" w:rsidRDefault="005F6061" w:rsidP="00885262">
            <w:pPr>
              <w:ind w:left="720"/>
              <w:rPr>
                <w:rFonts w:ascii="Times New Roman" w:hAnsi="Times New Roman" w:cs="Times New Roman"/>
                <w:bCs/>
                <w:sz w:val="24"/>
                <w:szCs w:val="24"/>
              </w:rPr>
            </w:pPr>
            <w:r w:rsidRPr="005F6061">
              <w:rPr>
                <w:rFonts w:ascii="Times New Roman" w:hAnsi="Times New Roman" w:cs="Times New Roman"/>
                <w:bCs/>
                <w:sz w:val="24"/>
                <w:szCs w:val="24"/>
              </w:rPr>
              <w:t xml:space="preserve">Artículo 4°. Calidad de la información. Para efectos de garantizar la calidad de la información, la Nación realizará periódicamente la validación y verificación de la información reportada por los departamentos, distritos y municipios certificados. Igualmente, será responsabilidad de cada entidad territorial, una vez al año, efectuar las auditorías que considere necesarias a la misma y la información de la población matriculada y del personal docente y administrativo y contrastarla con la información de la </w:t>
            </w:r>
            <w:proofErr w:type="spellStart"/>
            <w:r w:rsidRPr="005F6061">
              <w:rPr>
                <w:rFonts w:ascii="Times New Roman" w:hAnsi="Times New Roman" w:cs="Times New Roman"/>
                <w:bCs/>
                <w:sz w:val="24"/>
                <w:szCs w:val="24"/>
              </w:rPr>
              <w:lastRenderedPageBreak/>
              <w:t>Registraduría</w:t>
            </w:r>
            <w:proofErr w:type="spellEnd"/>
            <w:r w:rsidRPr="005F6061">
              <w:rPr>
                <w:rFonts w:ascii="Times New Roman" w:hAnsi="Times New Roman" w:cs="Times New Roman"/>
                <w:bCs/>
                <w:sz w:val="24"/>
                <w:szCs w:val="24"/>
              </w:rPr>
              <w:t xml:space="preserve"> Nacional del Estado Civil.</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Cs/>
                <w:sz w:val="24"/>
                <w:szCs w:val="24"/>
              </w:rPr>
            </w:pPr>
            <w:r w:rsidRPr="005F6061">
              <w:rPr>
                <w:rFonts w:ascii="Times New Roman" w:hAnsi="Times New Roman" w:cs="Times New Roman"/>
                <w:sz w:val="24"/>
                <w:szCs w:val="24"/>
              </w:rPr>
              <w:t>Decreto 2355 del 24 de junio de 2009.  Por el cual se reglamenta la contratación del servicio público educativo por parte de las entidades territoriales certificadas.</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sz w:val="24"/>
                <w:szCs w:val="24"/>
              </w:rPr>
            </w:pPr>
            <w:r w:rsidRPr="005F6061">
              <w:rPr>
                <w:rFonts w:ascii="Times New Roman" w:hAnsi="Times New Roman" w:cs="Times New Roman"/>
                <w:sz w:val="24"/>
                <w:szCs w:val="24"/>
              </w:rPr>
              <w:t>Decreto 2247 de 1997. Por el cual se establecen normas relativas a la prestación del servicio educativo del nivel preescolar y se dictan otras disposiciones.</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Cs/>
                <w:sz w:val="24"/>
                <w:szCs w:val="24"/>
              </w:rPr>
            </w:pPr>
            <w:r w:rsidRPr="005F6061">
              <w:rPr>
                <w:rFonts w:ascii="Times New Roman" w:hAnsi="Times New Roman" w:cs="Times New Roman"/>
                <w:bCs/>
                <w:sz w:val="24"/>
                <w:szCs w:val="24"/>
              </w:rPr>
              <w:t>Norma ISO 9001 NTC 1000. Norma Técnica Internacional de Gestión de Calidad.</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
                <w:bCs/>
                <w:sz w:val="24"/>
                <w:szCs w:val="24"/>
              </w:rPr>
            </w:pPr>
            <w:r w:rsidRPr="005F6061">
              <w:rPr>
                <w:rFonts w:ascii="Times New Roman" w:hAnsi="Times New Roman" w:cs="Times New Roman"/>
                <w:bCs/>
                <w:sz w:val="24"/>
                <w:szCs w:val="24"/>
              </w:rPr>
              <w:t>Actos administrativos particulares de las entidades territoriales, sobre el proceso de Gestión de Cobertura del Servicio Educativo</w:t>
            </w:r>
          </w:p>
          <w:p w:rsidR="005F6061" w:rsidRPr="005F6061" w:rsidRDefault="005F6061" w:rsidP="005F6061">
            <w:pPr>
              <w:numPr>
                <w:ilvl w:val="0"/>
                <w:numId w:val="2"/>
              </w:numPr>
              <w:spacing w:before="120" w:after="120" w:line="240" w:lineRule="auto"/>
              <w:ind w:right="539"/>
              <w:jc w:val="both"/>
              <w:rPr>
                <w:rFonts w:ascii="Times New Roman" w:hAnsi="Times New Roman" w:cs="Times New Roman"/>
                <w:b/>
                <w:bCs/>
                <w:sz w:val="24"/>
                <w:szCs w:val="24"/>
              </w:rPr>
            </w:pPr>
            <w:r w:rsidRPr="005F6061">
              <w:rPr>
                <w:rFonts w:ascii="Times New Roman" w:hAnsi="Times New Roman" w:cs="Times New Roman"/>
                <w:bCs/>
                <w:sz w:val="24"/>
                <w:szCs w:val="24"/>
              </w:rPr>
              <w:t>Acto Administrativo generado en el Subproceso C01.01 Definir y divulgar los lineamientos generales para la organización de la Gestión de la Matrícula Oficial</w:t>
            </w:r>
          </w:p>
          <w:p w:rsidR="005F6061" w:rsidRPr="005F6061" w:rsidRDefault="005F6061" w:rsidP="00885262">
            <w:pPr>
              <w:rPr>
                <w:rFonts w:ascii="Times New Roman" w:hAnsi="Times New Roman" w:cs="Times New Roman"/>
                <w:b/>
                <w:bCs/>
                <w:sz w:val="24"/>
                <w:szCs w:val="24"/>
              </w:rPr>
            </w:pPr>
          </w:p>
          <w:p w:rsidR="005F6061" w:rsidRPr="005F6061" w:rsidRDefault="005F6061" w:rsidP="00885262">
            <w:pPr>
              <w:jc w:val="both"/>
              <w:rPr>
                <w:rFonts w:ascii="Times New Roman" w:hAnsi="Times New Roman" w:cs="Times New Roman"/>
                <w:b/>
                <w:bCs/>
                <w:i/>
                <w:sz w:val="24"/>
                <w:szCs w:val="24"/>
              </w:rPr>
            </w:pPr>
            <w:r w:rsidRPr="005F6061">
              <w:rPr>
                <w:rFonts w:ascii="Times New Roman" w:hAnsi="Times New Roman" w:cs="Times New Roman"/>
                <w:b/>
                <w:bCs/>
                <w:i/>
                <w:sz w:val="24"/>
                <w:szCs w:val="24"/>
              </w:rPr>
              <w:t xml:space="preserve"> Políticas</w:t>
            </w:r>
          </w:p>
          <w:p w:rsidR="005F6061" w:rsidRPr="005F6061" w:rsidRDefault="005F6061" w:rsidP="00885262">
            <w:pPr>
              <w:rPr>
                <w:rFonts w:ascii="Times New Roman" w:hAnsi="Times New Roman" w:cs="Times New Roman"/>
                <w:b/>
                <w:bCs/>
                <w:i/>
                <w:sz w:val="24"/>
                <w:szCs w:val="24"/>
              </w:rPr>
            </w:pPr>
            <w:r w:rsidRPr="005F6061">
              <w:rPr>
                <w:rFonts w:ascii="Times New Roman" w:hAnsi="Times New Roman" w:cs="Times New Roman"/>
                <w:b/>
                <w:i/>
                <w:sz w:val="24"/>
                <w:szCs w:val="24"/>
              </w:rPr>
              <w:t>Las políticas se refieren a la definición de reglas, directrices y premisas que deben cumplirse para ejecutar el proceso.</w:t>
            </w:r>
          </w:p>
          <w:p w:rsidR="005F6061" w:rsidRPr="005F6061" w:rsidRDefault="005F6061" w:rsidP="005F6061">
            <w:pPr>
              <w:numPr>
                <w:ilvl w:val="0"/>
                <w:numId w:val="3"/>
              </w:numPr>
              <w:spacing w:before="120" w:after="120" w:line="240" w:lineRule="auto"/>
              <w:jc w:val="both"/>
              <w:rPr>
                <w:rFonts w:ascii="Times New Roman" w:hAnsi="Times New Roman" w:cs="Times New Roman"/>
                <w:sz w:val="24"/>
                <w:szCs w:val="24"/>
              </w:rPr>
            </w:pPr>
            <w:r w:rsidRPr="005F6061">
              <w:rPr>
                <w:rFonts w:ascii="Times New Roman" w:hAnsi="Times New Roman" w:cs="Times New Roman"/>
                <w:snapToGrid w:val="0"/>
                <w:sz w:val="24"/>
                <w:szCs w:val="24"/>
                <w:lang w:eastAsia="en-US"/>
              </w:rPr>
              <w:t>Cuando se identifiquen problemas reales o potenciales ya sea durante la ejecución de los diferentes subprocesos o  debido al análisis de los resultados de los indicadores asociados al proceso, el dueño del proceso debe generar acciones correctivas ó  preventivas,  las cuales deben ejecutarse de acuerdo con lo estipulado en los subprocesos N01.02 Acciones correctivas y N01.03 Acciones preventivas</w:t>
            </w:r>
          </w:p>
          <w:p w:rsidR="005F6061" w:rsidRPr="005F6061" w:rsidRDefault="005F6061" w:rsidP="005F6061">
            <w:pPr>
              <w:numPr>
                <w:ilvl w:val="0"/>
                <w:numId w:val="3"/>
              </w:numPr>
              <w:spacing w:before="120" w:after="120" w:line="240" w:lineRule="auto"/>
              <w:jc w:val="both"/>
              <w:rPr>
                <w:rFonts w:ascii="Times New Roman" w:hAnsi="Times New Roman" w:cs="Times New Roman"/>
                <w:snapToGrid w:val="0"/>
                <w:sz w:val="24"/>
                <w:szCs w:val="24"/>
                <w:lang w:eastAsia="en-US"/>
              </w:rPr>
            </w:pPr>
            <w:r w:rsidRPr="005F6061">
              <w:rPr>
                <w:rFonts w:ascii="Times New Roman" w:hAnsi="Times New Roman" w:cs="Times New Roman"/>
                <w:snapToGrid w:val="0"/>
                <w:sz w:val="24"/>
                <w:szCs w:val="24"/>
                <w:lang w:eastAsia="en-US"/>
              </w:rPr>
              <w:t>Todos los registros que se generen en cada uno de los subprocesos deben ser archivados de acuerdo con lo definido en la tabla de registros del numeral 6 del documento "diseño detallado del subproceso" y teniendo en cuenta los lineamientos del subproceso N0201 Archivo de gestión.</w:t>
            </w:r>
          </w:p>
          <w:p w:rsidR="005F6061" w:rsidRPr="005F6061" w:rsidRDefault="005F6061" w:rsidP="005F6061">
            <w:pPr>
              <w:numPr>
                <w:ilvl w:val="0"/>
                <w:numId w:val="3"/>
              </w:numPr>
              <w:spacing w:before="120" w:after="120" w:line="240" w:lineRule="auto"/>
              <w:jc w:val="both"/>
              <w:rPr>
                <w:rFonts w:ascii="Times New Roman" w:hAnsi="Times New Roman" w:cs="Times New Roman"/>
                <w:snapToGrid w:val="0"/>
                <w:sz w:val="24"/>
                <w:szCs w:val="24"/>
                <w:lang w:eastAsia="en-US"/>
              </w:rPr>
            </w:pPr>
            <w:r w:rsidRPr="005F6061">
              <w:rPr>
                <w:rFonts w:ascii="Times New Roman" w:hAnsi="Times New Roman" w:cs="Times New Roman"/>
                <w:snapToGrid w:val="0"/>
                <w:sz w:val="24"/>
                <w:szCs w:val="24"/>
                <w:lang w:eastAsia="en-US"/>
              </w:rPr>
              <w:t xml:space="preserve">La definición, medición y seguimiento de los indicadores asociados a los procesos de la cadena de valor, como herramienta de apoyo para el mejoramiento continuo y al logro de los objetivos definidos dentro de la secretaría, debe ser desarrollado por los responsables de cada proceso. La definición de los responsables se encuentra en la hoja de vida de cada indicador. </w:t>
            </w:r>
          </w:p>
          <w:p w:rsidR="005F6061" w:rsidRPr="005F6061" w:rsidRDefault="005F6061" w:rsidP="005F6061">
            <w:pPr>
              <w:numPr>
                <w:ilvl w:val="0"/>
                <w:numId w:val="3"/>
              </w:numPr>
              <w:spacing w:before="120" w:after="120" w:line="240" w:lineRule="auto"/>
              <w:jc w:val="both"/>
              <w:rPr>
                <w:rFonts w:ascii="Times New Roman" w:hAnsi="Times New Roman" w:cs="Times New Roman"/>
                <w:sz w:val="24"/>
                <w:szCs w:val="24"/>
              </w:rPr>
            </w:pPr>
            <w:r w:rsidRPr="005F6061">
              <w:rPr>
                <w:rFonts w:ascii="Times New Roman" w:hAnsi="Times New Roman" w:cs="Times New Roman"/>
                <w:snapToGrid w:val="0"/>
                <w:sz w:val="24"/>
                <w:szCs w:val="24"/>
                <w:lang w:eastAsia="en-US"/>
              </w:rPr>
              <w:t xml:space="preserve">El formato hoja de vida es el instrumento que se debe utilizar para la definición y seguimiento de los indicadores asociados a los procesos, en ésta se especifica la información, periodicidad y la formula requerida para la medición de los mismos, así como los rangos de evaluación necesarios para establecer el porcentaje de logro de las mediciones realizadas y las acciones requeridas sobre los resultados obtenidos. Existe una hoja de vida por proceso con todos los indicadores relacionados con el mismo, incluyendo los indicadores del Tablero de Indicadores. Las actividades detalladas para la definición, </w:t>
            </w:r>
            <w:r w:rsidRPr="005F6061">
              <w:rPr>
                <w:rFonts w:ascii="Times New Roman" w:hAnsi="Times New Roman" w:cs="Times New Roman"/>
                <w:snapToGrid w:val="0"/>
                <w:sz w:val="24"/>
                <w:szCs w:val="24"/>
                <w:lang w:eastAsia="en-US"/>
              </w:rPr>
              <w:lastRenderedPageBreak/>
              <w:t>medición y seguimiento de indicadores se encuentran descritas en el numeral 8 del manual de calidad.</w:t>
            </w:r>
          </w:p>
          <w:p w:rsidR="005F6061" w:rsidRPr="005F6061" w:rsidRDefault="005F6061" w:rsidP="005F6061">
            <w:pPr>
              <w:numPr>
                <w:ilvl w:val="0"/>
                <w:numId w:val="3"/>
              </w:numPr>
              <w:spacing w:before="120" w:after="120" w:line="240" w:lineRule="auto"/>
              <w:jc w:val="both"/>
              <w:rPr>
                <w:rFonts w:ascii="Times New Roman" w:hAnsi="Times New Roman" w:cs="Times New Roman"/>
                <w:sz w:val="24"/>
                <w:szCs w:val="24"/>
              </w:rPr>
            </w:pPr>
            <w:r w:rsidRPr="005F6061">
              <w:rPr>
                <w:rFonts w:ascii="Times New Roman" w:hAnsi="Times New Roman" w:cs="Times New Roman"/>
                <w:snapToGrid w:val="0"/>
                <w:sz w:val="24"/>
                <w:szCs w:val="24"/>
                <w:lang w:eastAsia="en-US"/>
              </w:rPr>
              <w:t>La asignación de los funcionarios de las unidades desconcentradas a las labores de calidad, cobertura e inspección y vigilancia se realizan en coordinación con el profesional especializado de administrativa y financiera, el cual por medio del técnico operativo de las unidades desconcentradas hace el control y seguimiento al cumplimiento de la programación de los profesionales universitarios de las mismas.</w:t>
            </w:r>
          </w:p>
          <w:p w:rsidR="005F6061" w:rsidRPr="005F6061" w:rsidRDefault="005F6061" w:rsidP="005F6061">
            <w:pPr>
              <w:numPr>
                <w:ilvl w:val="0"/>
                <w:numId w:val="3"/>
              </w:numPr>
              <w:spacing w:before="120" w:after="120" w:line="240" w:lineRule="auto"/>
              <w:ind w:right="539"/>
              <w:jc w:val="both"/>
              <w:rPr>
                <w:rFonts w:ascii="Times New Roman" w:hAnsi="Times New Roman" w:cs="Times New Roman"/>
                <w:sz w:val="24"/>
                <w:szCs w:val="24"/>
              </w:rPr>
            </w:pPr>
            <w:r w:rsidRPr="005F6061">
              <w:rPr>
                <w:rFonts w:ascii="Times New Roman" w:hAnsi="Times New Roman" w:cs="Times New Roman"/>
                <w:sz w:val="24"/>
                <w:szCs w:val="24"/>
              </w:rPr>
              <w:t>Las personas designadas como responsables para cada actividad definidas en el Documento Diseño Detallado del Subproceso, se refieren a los cargos establecidos en el diagrama de flujo, los cuales deben ser ajustados a la estructura organizacional de cada Secretaría.</w:t>
            </w:r>
          </w:p>
          <w:p w:rsidR="005F6061" w:rsidRPr="005F6061" w:rsidRDefault="005F6061" w:rsidP="005F6061">
            <w:pPr>
              <w:numPr>
                <w:ilvl w:val="0"/>
                <w:numId w:val="3"/>
              </w:numPr>
              <w:spacing w:before="120" w:after="120" w:line="240" w:lineRule="auto"/>
              <w:ind w:right="539"/>
              <w:jc w:val="both"/>
              <w:rPr>
                <w:rFonts w:ascii="Times New Roman" w:hAnsi="Times New Roman" w:cs="Times New Roman"/>
                <w:sz w:val="24"/>
                <w:szCs w:val="24"/>
              </w:rPr>
            </w:pPr>
            <w:r w:rsidRPr="005F6061">
              <w:rPr>
                <w:rFonts w:ascii="Times New Roman" w:hAnsi="Times New Roman" w:cs="Times New Roman"/>
                <w:sz w:val="24"/>
                <w:szCs w:val="24"/>
              </w:rPr>
              <w:t>Las Secretarías deben adoptar este proceso de acuerdo a sus circunstancias particulares y formular criterios y parámetros que permitan a su jurisdicción y a los Establecimientos Educativos, realizar un ejercicio con los resultados esperados, a partir de lineamientos claros y específicos.</w:t>
            </w:r>
          </w:p>
          <w:p w:rsidR="005F6061" w:rsidRPr="005F6061" w:rsidRDefault="005F6061" w:rsidP="005F6061">
            <w:pPr>
              <w:numPr>
                <w:ilvl w:val="0"/>
                <w:numId w:val="3"/>
              </w:numPr>
              <w:autoSpaceDE w:val="0"/>
              <w:autoSpaceDN w:val="0"/>
              <w:adjustRightInd w:val="0"/>
              <w:spacing w:before="120" w:after="120" w:line="240" w:lineRule="atLeast"/>
              <w:ind w:right="539"/>
              <w:jc w:val="both"/>
              <w:rPr>
                <w:rFonts w:ascii="Times New Roman" w:hAnsi="Times New Roman" w:cs="Times New Roman"/>
                <w:sz w:val="24"/>
                <w:szCs w:val="24"/>
              </w:rPr>
            </w:pPr>
            <w:r w:rsidRPr="005F6061">
              <w:rPr>
                <w:rFonts w:ascii="Times New Roman" w:hAnsi="Times New Roman" w:cs="Times New Roman"/>
                <w:sz w:val="24"/>
                <w:szCs w:val="24"/>
              </w:rPr>
              <w:t>La Secretaría de Educación es la máxima jerarquía responsable de la calidad en la ejecución de las actividades del proceso y de los resultados de éstos.</w:t>
            </w:r>
          </w:p>
          <w:p w:rsidR="005F6061" w:rsidRPr="005F6061" w:rsidRDefault="005F6061" w:rsidP="005F6061">
            <w:pPr>
              <w:pStyle w:val="Textoindependiente3"/>
              <w:numPr>
                <w:ilvl w:val="0"/>
                <w:numId w:val="3"/>
              </w:numPr>
              <w:spacing w:before="240"/>
              <w:jc w:val="both"/>
              <w:rPr>
                <w:color w:val="auto"/>
                <w:szCs w:val="24"/>
                <w:lang w:val="es-CO"/>
              </w:rPr>
            </w:pPr>
            <w:r w:rsidRPr="005F6061">
              <w:rPr>
                <w:color w:val="auto"/>
                <w:szCs w:val="24"/>
                <w:lang w:val="es-CO"/>
              </w:rPr>
              <w:t xml:space="preserve">Los auditores deben revisar que se cumplan las políticas establecidas en cada uno de los procesos de </w:t>
            </w:r>
            <w:r w:rsidRPr="005F6061">
              <w:rPr>
                <w:bCs/>
                <w:color w:val="auto"/>
                <w:szCs w:val="24"/>
                <w:lang w:val="es-CO"/>
              </w:rPr>
              <w:t>Gestión de la Cobertura del Servicio Educativo</w:t>
            </w:r>
            <w:r w:rsidRPr="005F6061">
              <w:rPr>
                <w:color w:val="auto"/>
                <w:szCs w:val="24"/>
                <w:lang w:val="es-CO"/>
              </w:rPr>
              <w:t xml:space="preserve"> que se van a auditar.</w:t>
            </w:r>
          </w:p>
          <w:p w:rsidR="005F6061" w:rsidRPr="005F6061" w:rsidRDefault="005F6061" w:rsidP="005F6061">
            <w:pPr>
              <w:pStyle w:val="Textoindependiente3"/>
              <w:numPr>
                <w:ilvl w:val="0"/>
                <w:numId w:val="2"/>
              </w:numPr>
              <w:spacing w:before="240"/>
              <w:jc w:val="both"/>
              <w:rPr>
                <w:color w:val="auto"/>
                <w:szCs w:val="24"/>
                <w:lang w:val="es-CO"/>
              </w:rPr>
            </w:pPr>
            <w:r w:rsidRPr="005F6061">
              <w:rPr>
                <w:color w:val="auto"/>
                <w:szCs w:val="24"/>
                <w:lang w:val="es-CO"/>
              </w:rPr>
              <w:t>Las inconsistencias encontradas durante la auditoría a los procesos de Gestión de Cobertura del Servicio Educativo en los Establecimientos Educativos deben ser aclarada por el responsable de reportar la información ante el ente al cual se reporta la información.</w:t>
            </w:r>
          </w:p>
          <w:p w:rsidR="005F6061" w:rsidRPr="005F6061" w:rsidRDefault="005F6061" w:rsidP="005F6061">
            <w:pPr>
              <w:pStyle w:val="Textoindependiente3"/>
              <w:numPr>
                <w:ilvl w:val="0"/>
                <w:numId w:val="2"/>
              </w:numPr>
              <w:spacing w:before="240"/>
              <w:jc w:val="both"/>
              <w:rPr>
                <w:color w:val="auto"/>
                <w:szCs w:val="24"/>
                <w:lang w:val="es-CO"/>
              </w:rPr>
            </w:pPr>
            <w:r w:rsidRPr="005F6061">
              <w:rPr>
                <w:color w:val="auto"/>
                <w:szCs w:val="24"/>
                <w:lang w:val="es-CO"/>
              </w:rPr>
              <w:t>Al finalizar la Auditoría a los procesos de Gestión de Cobertura del Servicio Educativo, la información en el Sistema de Matrícula debe concordar con la realidad de los alumnos que están asistiendo a los Establecimientos Educativos.</w:t>
            </w:r>
          </w:p>
          <w:p w:rsidR="005F6061" w:rsidRPr="005F6061" w:rsidRDefault="005F6061" w:rsidP="005F6061">
            <w:pPr>
              <w:numPr>
                <w:ilvl w:val="0"/>
                <w:numId w:val="2"/>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sz w:val="24"/>
                <w:szCs w:val="24"/>
              </w:rPr>
              <w:t>Las diferentes modalidades para realizar auditoría a los procesos de Gestión de Cobertura del Servicio Educativo son:</w:t>
            </w:r>
          </w:p>
          <w:p w:rsidR="005F6061" w:rsidRPr="005F6061" w:rsidRDefault="005F6061" w:rsidP="005F6061">
            <w:pPr>
              <w:numPr>
                <w:ilvl w:val="0"/>
                <w:numId w:val="5"/>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sz w:val="24"/>
                <w:szCs w:val="24"/>
              </w:rPr>
              <w:t>Auditoría Externa: realizada por la Secretaría de Educación o la unidad desconcentrada (Dirección Zonal) a los establecimientos educativos de su jurisdicción.</w:t>
            </w:r>
          </w:p>
          <w:p w:rsidR="005F6061" w:rsidRPr="005F6061" w:rsidRDefault="005F6061" w:rsidP="005F6061">
            <w:pPr>
              <w:numPr>
                <w:ilvl w:val="0"/>
                <w:numId w:val="5"/>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sz w:val="24"/>
                <w:szCs w:val="24"/>
              </w:rPr>
              <w:t>Auditoría de Tercera Parte: realizada por el Ministerio de Educación o Ente Contratado para el mismo para auditar a la Secretaría de Educación y Establecimientos Educativos.</w:t>
            </w:r>
          </w:p>
          <w:p w:rsidR="005F6061" w:rsidRPr="005F6061" w:rsidRDefault="005F6061" w:rsidP="005F6061">
            <w:pPr>
              <w:numPr>
                <w:ilvl w:val="0"/>
                <w:numId w:val="2"/>
              </w:numPr>
              <w:spacing w:before="120" w:after="120" w:line="240" w:lineRule="auto"/>
              <w:jc w:val="both"/>
              <w:rPr>
                <w:rFonts w:ascii="Times New Roman" w:hAnsi="Times New Roman" w:cs="Times New Roman"/>
                <w:bCs/>
                <w:sz w:val="24"/>
                <w:szCs w:val="24"/>
              </w:rPr>
            </w:pPr>
            <w:r w:rsidRPr="005F6061">
              <w:rPr>
                <w:rFonts w:ascii="Times New Roman" w:hAnsi="Times New Roman" w:cs="Times New Roman"/>
                <w:sz w:val="24"/>
                <w:szCs w:val="24"/>
              </w:rPr>
              <w:t xml:space="preserve">Las personas que realizan el proceso de auditoría deben ser capacitadas previamente o tener las competencias, tales como: conocer el concepto y los principios de auditoría, conocer a cerca de la correcta ejecución del Macroproceso C. Gestión de Cobertura del </w:t>
            </w:r>
            <w:r w:rsidRPr="005F6061">
              <w:rPr>
                <w:rFonts w:ascii="Times New Roman" w:hAnsi="Times New Roman" w:cs="Times New Roman"/>
                <w:sz w:val="24"/>
                <w:szCs w:val="24"/>
              </w:rPr>
              <w:lastRenderedPageBreak/>
              <w:t>Servicio Educativo.</w:t>
            </w:r>
          </w:p>
          <w:p w:rsidR="005F6061" w:rsidRPr="005F6061" w:rsidRDefault="005F6061" w:rsidP="005F6061">
            <w:pPr>
              <w:numPr>
                <w:ilvl w:val="0"/>
                <w:numId w:val="2"/>
              </w:numPr>
              <w:spacing w:before="120" w:after="120" w:line="240" w:lineRule="auto"/>
              <w:jc w:val="both"/>
              <w:rPr>
                <w:rFonts w:ascii="Times New Roman" w:hAnsi="Times New Roman" w:cs="Times New Roman"/>
                <w:sz w:val="24"/>
                <w:szCs w:val="24"/>
              </w:rPr>
            </w:pPr>
            <w:r w:rsidRPr="005F6061">
              <w:rPr>
                <w:rFonts w:ascii="Times New Roman" w:hAnsi="Times New Roman" w:cs="Times New Roman"/>
                <w:sz w:val="24"/>
                <w:szCs w:val="24"/>
              </w:rPr>
              <w:t>El Área de Cobertura de la Secretaría de Educación debe de verificar que los Establecimientos Educativos realicen el proceso de Auditoría Interna una vez al año.</w:t>
            </w:r>
          </w:p>
          <w:p w:rsidR="005F6061" w:rsidRPr="005F6061" w:rsidRDefault="005F6061" w:rsidP="005F6061">
            <w:pPr>
              <w:numPr>
                <w:ilvl w:val="0"/>
                <w:numId w:val="2"/>
              </w:numPr>
              <w:spacing w:before="120" w:after="120" w:line="240" w:lineRule="auto"/>
              <w:jc w:val="both"/>
              <w:rPr>
                <w:rFonts w:ascii="Times New Roman" w:hAnsi="Times New Roman" w:cs="Times New Roman"/>
                <w:sz w:val="24"/>
                <w:szCs w:val="24"/>
              </w:rPr>
            </w:pPr>
            <w:r w:rsidRPr="005F6061">
              <w:rPr>
                <w:rFonts w:ascii="Times New Roman" w:hAnsi="Times New Roman" w:cs="Times New Roman"/>
                <w:sz w:val="24"/>
                <w:szCs w:val="24"/>
              </w:rPr>
              <w:t>La Secretaría de Educación debe acompañar a los Establecimientos Educativos durante el proceso de Auditoría Interna.</w:t>
            </w:r>
          </w:p>
          <w:p w:rsidR="005F6061" w:rsidRPr="005F6061" w:rsidRDefault="005F6061" w:rsidP="005F6061">
            <w:pPr>
              <w:numPr>
                <w:ilvl w:val="0"/>
                <w:numId w:val="2"/>
              </w:numPr>
              <w:spacing w:before="120" w:after="120" w:line="240" w:lineRule="auto"/>
              <w:jc w:val="both"/>
              <w:rPr>
                <w:rFonts w:ascii="Times New Roman" w:hAnsi="Times New Roman" w:cs="Times New Roman"/>
                <w:sz w:val="24"/>
                <w:szCs w:val="24"/>
              </w:rPr>
            </w:pPr>
            <w:r w:rsidRPr="005F6061">
              <w:rPr>
                <w:rFonts w:ascii="Times New Roman" w:hAnsi="Times New Roman" w:cs="Times New Roman"/>
                <w:sz w:val="24"/>
                <w:szCs w:val="24"/>
              </w:rPr>
              <w:t>Las auditorías a los procesos del Macroproceso C. Gestión de Cobertura del Servicio Educativo se deben realizar una vez sea finalizada la ejecución de estos.</w:t>
            </w:r>
          </w:p>
        </w:tc>
      </w:tr>
    </w:tbl>
    <w:p w:rsidR="005F6061" w:rsidRPr="005F6061" w:rsidRDefault="005F6061" w:rsidP="005F6061">
      <w:pPr>
        <w:rPr>
          <w:rFonts w:ascii="Times New Roman" w:hAnsi="Times New Roman" w:cs="Times New Roman"/>
          <w:b/>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F6061" w:rsidRPr="005F6061" w:rsidTr="00885262">
        <w:trPr>
          <w:tblHeader/>
        </w:trPr>
        <w:tc>
          <w:tcPr>
            <w:tcW w:w="9610" w:type="dxa"/>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9" w:name="_Toc239743952"/>
            <w:r w:rsidRPr="005F6061">
              <w:rPr>
                <w:sz w:val="24"/>
                <w:szCs w:val="24"/>
                <w:lang w:val="es-CO"/>
              </w:rPr>
              <w:t>RESPONSABLE / LÍDER DEL PROCESO</w:t>
            </w:r>
            <w:bookmarkEnd w:id="9"/>
            <w:r w:rsidRPr="005F6061">
              <w:rPr>
                <w:sz w:val="24"/>
                <w:szCs w:val="24"/>
                <w:lang w:val="es-CO"/>
              </w:rPr>
              <w:t xml:space="preserve"> </w:t>
            </w:r>
          </w:p>
        </w:tc>
      </w:tr>
      <w:tr w:rsidR="005F6061" w:rsidRPr="005F6061" w:rsidTr="00885262">
        <w:trPr>
          <w:cantSplit/>
        </w:trPr>
        <w:tc>
          <w:tcPr>
            <w:tcW w:w="9610" w:type="dxa"/>
            <w:tcBorders>
              <w:top w:val="single" w:sz="18" w:space="0" w:color="auto"/>
              <w:bottom w:val="single" w:sz="18" w:space="0" w:color="auto"/>
            </w:tcBorders>
            <w:shd w:val="clear" w:color="auto" w:fill="auto"/>
          </w:tcPr>
          <w:p w:rsidR="005F6061" w:rsidRPr="005F6061" w:rsidRDefault="005F6061" w:rsidP="00885262">
            <w:pPr>
              <w:spacing w:after="0"/>
              <w:rPr>
                <w:rFonts w:ascii="Times New Roman" w:hAnsi="Times New Roman" w:cs="Times New Roman"/>
                <w:sz w:val="24"/>
                <w:szCs w:val="24"/>
              </w:rPr>
            </w:pPr>
          </w:p>
          <w:p w:rsidR="005F6061" w:rsidRPr="005F6061" w:rsidRDefault="005F6061" w:rsidP="00885262">
            <w:pPr>
              <w:spacing w:after="0"/>
              <w:rPr>
                <w:rFonts w:ascii="Times New Roman" w:hAnsi="Times New Roman" w:cs="Times New Roman"/>
                <w:sz w:val="24"/>
                <w:szCs w:val="24"/>
              </w:rPr>
            </w:pPr>
            <w:r w:rsidRPr="005F6061">
              <w:rPr>
                <w:rFonts w:ascii="Times New Roman" w:hAnsi="Times New Roman" w:cs="Times New Roman"/>
                <w:sz w:val="24"/>
                <w:szCs w:val="24"/>
              </w:rPr>
              <w:t>Profesional Especializado de Cobertura.</w:t>
            </w:r>
          </w:p>
          <w:p w:rsidR="005F6061" w:rsidRPr="005F6061" w:rsidRDefault="005F6061" w:rsidP="00885262">
            <w:pPr>
              <w:spacing w:after="0"/>
              <w:rPr>
                <w:rFonts w:ascii="Times New Roman" w:hAnsi="Times New Roman" w:cs="Times New Roman"/>
                <w:sz w:val="24"/>
                <w:szCs w:val="24"/>
              </w:rPr>
            </w:pPr>
          </w:p>
        </w:tc>
      </w:tr>
    </w:tbl>
    <w:p w:rsidR="005F6061" w:rsidRPr="005F6061" w:rsidRDefault="005F6061" w:rsidP="005F6061">
      <w:pPr>
        <w:rPr>
          <w:rFonts w:ascii="Times New Roman" w:hAnsi="Times New Roman" w:cs="Times New Roman"/>
          <w:b/>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5F6061" w:rsidRPr="005F6061" w:rsidTr="00885262">
        <w:trPr>
          <w:cantSplit/>
        </w:trPr>
        <w:tc>
          <w:tcPr>
            <w:tcW w:w="9610" w:type="dxa"/>
            <w:tcBorders>
              <w:top w:val="single" w:sz="18" w:space="0" w:color="auto"/>
              <w:bottom w:val="single" w:sz="18" w:space="0" w:color="auto"/>
            </w:tcBorders>
            <w:shd w:val="clear" w:color="auto" w:fill="C0C0C0"/>
          </w:tcPr>
          <w:p w:rsidR="005F6061" w:rsidRPr="005F6061" w:rsidRDefault="005F6061" w:rsidP="00885262">
            <w:pPr>
              <w:pStyle w:val="Ttulo2"/>
              <w:jc w:val="center"/>
              <w:rPr>
                <w:sz w:val="24"/>
                <w:szCs w:val="24"/>
                <w:lang w:val="es-CO"/>
              </w:rPr>
            </w:pPr>
            <w:bookmarkStart w:id="10" w:name="_Toc239743953"/>
            <w:r w:rsidRPr="005F6061">
              <w:rPr>
                <w:sz w:val="24"/>
                <w:szCs w:val="24"/>
                <w:lang w:val="es-CO"/>
              </w:rPr>
              <w:t>SUBPROCESOS</w:t>
            </w:r>
            <w:bookmarkEnd w:id="10"/>
          </w:p>
        </w:tc>
      </w:tr>
      <w:tr w:rsidR="005F6061" w:rsidRPr="005F6061" w:rsidTr="00885262">
        <w:trPr>
          <w:cantSplit/>
        </w:trPr>
        <w:tc>
          <w:tcPr>
            <w:tcW w:w="9610" w:type="dxa"/>
            <w:tcBorders>
              <w:top w:val="single" w:sz="18" w:space="0" w:color="auto"/>
              <w:bottom w:val="single" w:sz="18" w:space="0" w:color="auto"/>
            </w:tcBorders>
            <w:shd w:val="clear" w:color="auto" w:fill="auto"/>
          </w:tcPr>
          <w:p w:rsidR="005F6061" w:rsidRPr="005F6061" w:rsidRDefault="005F6061" w:rsidP="005F6061">
            <w:pPr>
              <w:numPr>
                <w:ilvl w:val="0"/>
                <w:numId w:val="4"/>
              </w:numPr>
              <w:spacing w:before="120" w:after="120" w:line="240" w:lineRule="auto"/>
              <w:rPr>
                <w:rFonts w:ascii="Times New Roman" w:hAnsi="Times New Roman" w:cs="Times New Roman"/>
                <w:sz w:val="24"/>
                <w:szCs w:val="24"/>
              </w:rPr>
            </w:pPr>
            <w:r w:rsidRPr="005F6061">
              <w:rPr>
                <w:rFonts w:ascii="Times New Roman" w:hAnsi="Times New Roman" w:cs="Times New Roman"/>
                <w:sz w:val="24"/>
                <w:szCs w:val="24"/>
              </w:rPr>
              <w:t>C05.01 Auditoría de Matrícula.</w:t>
            </w:r>
          </w:p>
        </w:tc>
      </w:tr>
    </w:tbl>
    <w:p w:rsidR="005F6061" w:rsidRPr="005F6061" w:rsidRDefault="005F6061" w:rsidP="005F6061">
      <w:pPr>
        <w:rPr>
          <w:rFonts w:ascii="Times New Roman" w:hAnsi="Times New Roman" w:cs="Times New Roman"/>
          <w:b/>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6840"/>
      </w:tblGrid>
      <w:tr w:rsidR="005F6061" w:rsidRPr="005F6061" w:rsidTr="00885262">
        <w:trPr>
          <w:tblHeader/>
        </w:trPr>
        <w:tc>
          <w:tcPr>
            <w:tcW w:w="9610" w:type="dxa"/>
            <w:gridSpan w:val="2"/>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11" w:name="_Toc239743954"/>
            <w:r w:rsidRPr="005F6061">
              <w:rPr>
                <w:sz w:val="24"/>
                <w:szCs w:val="24"/>
                <w:lang w:val="es-CO"/>
              </w:rPr>
              <w:t>PROVEEDORES E INSUMOS (INFORMES /REGISTROS /DOCUMENTOS)</w:t>
            </w:r>
            <w:bookmarkEnd w:id="11"/>
          </w:p>
        </w:tc>
      </w:tr>
      <w:tr w:rsidR="005F6061" w:rsidRPr="005F6061" w:rsidTr="00885262">
        <w:trPr>
          <w:cantSplit/>
          <w:trHeight w:val="593"/>
        </w:trPr>
        <w:tc>
          <w:tcPr>
            <w:tcW w:w="2770" w:type="dxa"/>
            <w:tcBorders>
              <w:top w:val="single" w:sz="18" w:space="0" w:color="auto"/>
              <w:bottom w:val="single" w:sz="18" w:space="0" w:color="auto"/>
            </w:tcBorders>
            <w:vAlign w:val="center"/>
          </w:tcPr>
          <w:p w:rsidR="005F6061" w:rsidRPr="005F6061" w:rsidRDefault="005F6061" w:rsidP="00885262">
            <w:pPr>
              <w:spacing w:after="0"/>
              <w:jc w:val="center"/>
              <w:rPr>
                <w:rFonts w:ascii="Times New Roman" w:hAnsi="Times New Roman" w:cs="Times New Roman"/>
                <w:sz w:val="24"/>
                <w:szCs w:val="24"/>
              </w:rPr>
            </w:pPr>
            <w:r w:rsidRPr="005F6061">
              <w:rPr>
                <w:rFonts w:ascii="Times New Roman" w:hAnsi="Times New Roman" w:cs="Times New Roman"/>
                <w:sz w:val="24"/>
                <w:szCs w:val="24"/>
              </w:rPr>
              <w:t>Subproceso / dependencia / área origen</w:t>
            </w:r>
          </w:p>
        </w:tc>
        <w:tc>
          <w:tcPr>
            <w:tcW w:w="6840" w:type="dxa"/>
            <w:tcBorders>
              <w:top w:val="single" w:sz="18" w:space="0" w:color="auto"/>
              <w:bottom w:val="single" w:sz="18" w:space="0" w:color="auto"/>
            </w:tcBorders>
            <w:vAlign w:val="center"/>
          </w:tcPr>
          <w:p w:rsidR="005F6061" w:rsidRPr="005F6061" w:rsidRDefault="005F6061" w:rsidP="00885262">
            <w:pPr>
              <w:spacing w:after="0"/>
              <w:jc w:val="center"/>
              <w:rPr>
                <w:rFonts w:ascii="Times New Roman" w:hAnsi="Times New Roman" w:cs="Times New Roman"/>
                <w:sz w:val="24"/>
                <w:szCs w:val="24"/>
              </w:rPr>
            </w:pPr>
            <w:r w:rsidRPr="005F6061">
              <w:rPr>
                <w:rFonts w:ascii="Times New Roman" w:hAnsi="Times New Roman" w:cs="Times New Roman"/>
                <w:sz w:val="24"/>
                <w:szCs w:val="24"/>
              </w:rPr>
              <w:t>Insumos (entradas)</w:t>
            </w:r>
          </w:p>
        </w:tc>
      </w:tr>
      <w:tr w:rsidR="005F6061" w:rsidRPr="005F6061" w:rsidTr="00885262">
        <w:trPr>
          <w:cantSplit/>
          <w:trHeight w:val="926"/>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39" w:lineRule="atLeast"/>
              <w:jc w:val="center"/>
              <w:rPr>
                <w:rFonts w:ascii="Times New Roman" w:hAnsi="Times New Roman" w:cs="Times New Roman"/>
                <w:sz w:val="24"/>
                <w:szCs w:val="24"/>
              </w:rPr>
            </w:pPr>
          </w:p>
          <w:p w:rsidR="005F6061" w:rsidRPr="005F6061" w:rsidRDefault="005F6061" w:rsidP="00885262">
            <w:pPr>
              <w:autoSpaceDE w:val="0"/>
              <w:autoSpaceDN w:val="0"/>
              <w:adjustRightInd w:val="0"/>
              <w:spacing w:after="0" w:line="239" w:lineRule="atLeast"/>
              <w:rPr>
                <w:rFonts w:ascii="Times New Roman" w:hAnsi="Times New Roman" w:cs="Times New Roman"/>
                <w:sz w:val="24"/>
                <w:szCs w:val="24"/>
              </w:rPr>
            </w:pPr>
            <w:r w:rsidRPr="005F6061">
              <w:rPr>
                <w:rFonts w:ascii="Times New Roman" w:hAnsi="Times New Roman" w:cs="Times New Roman"/>
                <w:sz w:val="24"/>
                <w:szCs w:val="24"/>
              </w:rPr>
              <w:t>Establecimientos Educativos</w:t>
            </w:r>
          </w:p>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1. C05.01.F02</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Oportunidades de Mejora e Inconsistencias Detectadas</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2. C05.01.F03</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 xml:space="preserve">Reporte de Auditoría </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39" w:lineRule="atLeast"/>
              <w:jc w:val="center"/>
              <w:rPr>
                <w:rFonts w:ascii="Times New Roman" w:hAnsi="Times New Roman" w:cs="Times New Roman"/>
                <w:sz w:val="24"/>
                <w:szCs w:val="24"/>
              </w:rPr>
            </w:pPr>
            <w:r w:rsidRPr="005F6061">
              <w:rPr>
                <w:rFonts w:ascii="Times New Roman" w:hAnsi="Times New Roman" w:cs="Times New Roman"/>
                <w:sz w:val="24"/>
                <w:szCs w:val="24"/>
              </w:rPr>
              <w:t xml:space="preserve">C01.01 Definir y divulgar los lineamientos generales para la organización de la gestión de matricula oficial </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Acto Administrativo con lineamientos, directrices, procedimientos y cronograma que organizan los procesos de cobertura educativa.</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bCs/>
                <w:sz w:val="24"/>
                <w:szCs w:val="24"/>
              </w:rPr>
            </w:pP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39" w:lineRule="atLeast"/>
              <w:jc w:val="center"/>
              <w:rPr>
                <w:rFonts w:ascii="Times New Roman" w:hAnsi="Times New Roman" w:cs="Times New Roman"/>
                <w:sz w:val="24"/>
                <w:szCs w:val="24"/>
              </w:rPr>
            </w:pPr>
            <w:r w:rsidRPr="005F6061">
              <w:rPr>
                <w:rFonts w:ascii="Times New Roman" w:hAnsi="Times New Roman" w:cs="Times New Roman"/>
                <w:sz w:val="24"/>
                <w:szCs w:val="24"/>
              </w:rPr>
              <w:lastRenderedPageBreak/>
              <w:t>C02.01 Proyectar e identificar estrategias de Ampliación de Oferta   y requerimientos básicos.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C02 01.F01 Determinación del numero de cupos y Grupo</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C02.01.F02 Identificación de fuentes alternativas de cupos</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Muestra de Establecimientos Educativos para realizar auditoria sobre la información reportada y recursos solicitados para ampliación de oferta.</w:t>
            </w:r>
          </w:p>
          <w:p w:rsidR="005F6061" w:rsidRPr="005F6061" w:rsidRDefault="005F6061" w:rsidP="00885262">
            <w:pPr>
              <w:autoSpaceDE w:val="0"/>
              <w:autoSpaceDN w:val="0"/>
              <w:adjustRightInd w:val="0"/>
              <w:spacing w:after="0" w:line="191" w:lineRule="atLeast"/>
              <w:rPr>
                <w:rFonts w:ascii="Times New Roman" w:hAnsi="Times New Roman" w:cs="Times New Roman"/>
                <w:sz w:val="24"/>
                <w:szCs w:val="24"/>
              </w:rPr>
            </w:pP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C03.01 Solicitar reserva (</w:t>
            </w:r>
            <w:proofErr w:type="spellStart"/>
            <w:r w:rsidRPr="005F6061">
              <w:rPr>
                <w:rFonts w:ascii="Times New Roman" w:hAnsi="Times New Roman" w:cs="Times New Roman"/>
                <w:sz w:val="24"/>
                <w:szCs w:val="24"/>
              </w:rPr>
              <w:t>prematricula</w:t>
            </w:r>
            <w:proofErr w:type="spellEnd"/>
            <w:r w:rsidRPr="005F6061">
              <w:rPr>
                <w:rFonts w:ascii="Times New Roman" w:hAnsi="Times New Roman" w:cs="Times New Roman"/>
                <w:sz w:val="24"/>
                <w:szCs w:val="24"/>
              </w:rPr>
              <w:t>) y reservar cupos para alumnos antiguos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 xml:space="preserve">C03.01.F02 Informe de </w:t>
            </w:r>
            <w:proofErr w:type="spellStart"/>
            <w:r w:rsidRPr="005F6061">
              <w:rPr>
                <w:rFonts w:ascii="Times New Roman" w:hAnsi="Times New Roman" w:cs="Times New Roman"/>
                <w:sz w:val="24"/>
                <w:szCs w:val="24"/>
              </w:rPr>
              <w:t>prematrícula</w:t>
            </w:r>
            <w:proofErr w:type="spellEnd"/>
            <w:r w:rsidRPr="005F6061">
              <w:rPr>
                <w:rFonts w:ascii="Times New Roman" w:hAnsi="Times New Roman" w:cs="Times New Roman"/>
                <w:sz w:val="24"/>
                <w:szCs w:val="24"/>
              </w:rPr>
              <w:t>, traslado y retiros</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 xml:space="preserve">C03.01.F01 </w:t>
            </w:r>
            <w:proofErr w:type="spellStart"/>
            <w:r w:rsidRPr="005F6061">
              <w:rPr>
                <w:rFonts w:ascii="Times New Roman" w:hAnsi="Times New Roman" w:cs="Times New Roman"/>
                <w:sz w:val="24"/>
                <w:szCs w:val="24"/>
              </w:rPr>
              <w:t>Prematricula</w:t>
            </w:r>
            <w:proofErr w:type="spellEnd"/>
            <w:r w:rsidRPr="005F6061">
              <w:rPr>
                <w:rFonts w:ascii="Times New Roman" w:hAnsi="Times New Roman" w:cs="Times New Roman"/>
                <w:sz w:val="24"/>
                <w:szCs w:val="24"/>
              </w:rPr>
              <w:t xml:space="preserve"> y Traslado</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C03.02. Asignar Cupos a niños procedentes de Entidades De Bienestar Social o Familiar</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C03.02.F01 Formulario para continuidad de jardín de niños provenientes de bienestar social o familiar</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C03.03. Inscribir alumnos nuevos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Muestra de Establecimientos Educativos para realizar auditoria sobre la información reportada.</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C03.02.F01 Inscripción de alumnos nuevos</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C03.04. Asignar cupos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C03.04.F01 Listado de  alumnos asignados</w:t>
            </w:r>
          </w:p>
        </w:tc>
      </w:tr>
      <w:tr w:rsidR="005F6061" w:rsidRPr="005F6061" w:rsidTr="00885262">
        <w:trPr>
          <w:cantSplit/>
          <w:trHeight w:val="1061"/>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lang w:eastAsia="en-US"/>
              </w:rPr>
            </w:pPr>
            <w:r w:rsidRPr="005F6061">
              <w:rPr>
                <w:rFonts w:ascii="Times New Roman" w:hAnsi="Times New Roman" w:cs="Times New Roman"/>
                <w:sz w:val="24"/>
                <w:szCs w:val="24"/>
                <w:lang w:eastAsia="en-US"/>
              </w:rPr>
              <w:t>C04.01 Registrar matricula de alumnos antiguos y nuevos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lang w:eastAsia="en-US"/>
              </w:rPr>
            </w:pPr>
            <w:r w:rsidRPr="005F6061">
              <w:rPr>
                <w:rFonts w:ascii="Times New Roman" w:hAnsi="Times New Roman" w:cs="Times New Roman"/>
                <w:sz w:val="24"/>
                <w:szCs w:val="24"/>
                <w:lang w:eastAsia="en-US"/>
              </w:rPr>
              <w:t xml:space="preserve">Matriz con estructura  anexo 6A, Resolución 166 </w:t>
            </w:r>
          </w:p>
        </w:tc>
      </w:tr>
      <w:tr w:rsidR="005F6061" w:rsidRPr="005F6061" w:rsidTr="00885262">
        <w:trPr>
          <w:cantSplit/>
          <w:trHeight w:val="1061"/>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lang w:eastAsia="en-US"/>
              </w:rPr>
            </w:pPr>
            <w:r w:rsidRPr="005F6061">
              <w:rPr>
                <w:rFonts w:ascii="Times New Roman" w:hAnsi="Times New Roman" w:cs="Times New Roman"/>
                <w:sz w:val="24"/>
                <w:szCs w:val="24"/>
                <w:lang w:eastAsia="en-US"/>
              </w:rPr>
              <w:t>C04.02 Novedades de Matrícula</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lang w:eastAsia="en-US"/>
              </w:rPr>
            </w:pPr>
            <w:r w:rsidRPr="005F6061">
              <w:rPr>
                <w:rFonts w:ascii="Times New Roman" w:hAnsi="Times New Roman" w:cs="Times New Roman"/>
                <w:color w:val="000000"/>
                <w:sz w:val="24"/>
                <w:szCs w:val="24"/>
              </w:rPr>
              <w:t>Documentos y Registros Generados en el Proceso</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39" w:lineRule="atLeast"/>
              <w:jc w:val="center"/>
              <w:rPr>
                <w:rFonts w:ascii="Times New Roman" w:hAnsi="Times New Roman" w:cs="Times New Roman"/>
                <w:sz w:val="24"/>
                <w:szCs w:val="24"/>
              </w:rPr>
            </w:pPr>
            <w:r w:rsidRPr="005F6061">
              <w:rPr>
                <w:rFonts w:ascii="Times New Roman" w:hAnsi="Times New Roman" w:cs="Times New Roman"/>
                <w:sz w:val="24"/>
                <w:szCs w:val="24"/>
                <w:lang w:eastAsia="en-US"/>
              </w:rPr>
              <w:t>G01.03 Generar y analizar reportes de información</w:t>
            </w:r>
            <w:r w:rsidRPr="005F6061" w:rsidDel="00CE424C">
              <w:rPr>
                <w:rFonts w:ascii="Times New Roman" w:hAnsi="Times New Roman" w:cs="Times New Roman"/>
                <w:sz w:val="24"/>
                <w:szCs w:val="24"/>
              </w:rPr>
              <w:t xml:space="preserve"> </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Ultimo reporte de matrícula del año lectivo vigente</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bCs/>
                <w:sz w:val="24"/>
                <w:szCs w:val="24"/>
              </w:rPr>
            </w:pP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I0102. Manejar requisiciones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Comunicación notificando estado de requisición</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N01.02 Acciones correctivas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Acción correctiva</w:t>
            </w:r>
          </w:p>
        </w:tc>
      </w:tr>
    </w:tbl>
    <w:p w:rsidR="005F6061" w:rsidRPr="005F6061" w:rsidRDefault="005F6061" w:rsidP="005F6061">
      <w:pPr>
        <w:rPr>
          <w:rFonts w:ascii="Times New Roman" w:hAnsi="Times New Roman" w:cs="Times New Roman"/>
          <w:b/>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6840"/>
      </w:tblGrid>
      <w:tr w:rsidR="005F6061" w:rsidRPr="005F6061" w:rsidTr="00885262">
        <w:trPr>
          <w:tblHeader/>
        </w:trPr>
        <w:tc>
          <w:tcPr>
            <w:tcW w:w="9610" w:type="dxa"/>
            <w:gridSpan w:val="2"/>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12" w:name="_Toc239743955"/>
            <w:r w:rsidRPr="005F6061">
              <w:rPr>
                <w:sz w:val="24"/>
                <w:szCs w:val="24"/>
                <w:lang w:val="es-CO"/>
              </w:rPr>
              <w:t>CLIENTES Y PRODUCTOS (INFORMES / REGISTROS / DOCUMENTOS)</w:t>
            </w:r>
            <w:bookmarkEnd w:id="12"/>
          </w:p>
        </w:tc>
      </w:tr>
      <w:tr w:rsidR="005F6061" w:rsidRPr="005F6061" w:rsidTr="00885262">
        <w:trPr>
          <w:cantSplit/>
        </w:trPr>
        <w:tc>
          <w:tcPr>
            <w:tcW w:w="2770"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sz w:val="24"/>
                <w:szCs w:val="24"/>
              </w:rPr>
            </w:pPr>
            <w:r w:rsidRPr="005F6061">
              <w:rPr>
                <w:rFonts w:ascii="Times New Roman" w:hAnsi="Times New Roman" w:cs="Times New Roman"/>
                <w:sz w:val="24"/>
                <w:szCs w:val="24"/>
              </w:rPr>
              <w:t>Subproceso / dependencia / área destino</w:t>
            </w:r>
          </w:p>
        </w:tc>
        <w:tc>
          <w:tcPr>
            <w:tcW w:w="6840"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sz w:val="24"/>
                <w:szCs w:val="24"/>
              </w:rPr>
            </w:pPr>
            <w:r w:rsidRPr="005F6061">
              <w:rPr>
                <w:rFonts w:ascii="Times New Roman" w:hAnsi="Times New Roman" w:cs="Times New Roman"/>
                <w:sz w:val="24"/>
                <w:szCs w:val="24"/>
              </w:rPr>
              <w:t>Productos (Salidas)</w:t>
            </w:r>
          </w:p>
        </w:tc>
      </w:tr>
      <w:tr w:rsidR="005F6061" w:rsidRPr="005F6061" w:rsidTr="00885262">
        <w:trPr>
          <w:cantSplit/>
          <w:trHeight w:val="303"/>
        </w:trPr>
        <w:tc>
          <w:tcPr>
            <w:tcW w:w="277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lastRenderedPageBreak/>
              <w:t>C04.02 Novedades de Matrícula</w:t>
            </w:r>
          </w:p>
          <w:p w:rsidR="005F6061" w:rsidRPr="005F6061" w:rsidRDefault="005F6061" w:rsidP="00885262">
            <w:pPr>
              <w:spacing w:after="0"/>
              <w:jc w:val="center"/>
              <w:rPr>
                <w:rFonts w:ascii="Times New Roman" w:hAnsi="Times New Roman" w:cs="Times New Roman"/>
                <w:sz w:val="24"/>
                <w:szCs w:val="24"/>
              </w:rPr>
            </w:pP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C05.01.F02 Oportunidades de Mejora e Inconsistencias Detectadas</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 xml:space="preserve">C05.01.F03 Reporte de Auditoría </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p>
        </w:tc>
      </w:tr>
      <w:tr w:rsidR="005F6061" w:rsidRPr="005F6061" w:rsidTr="00885262">
        <w:trPr>
          <w:cantSplit/>
        </w:trPr>
        <w:tc>
          <w:tcPr>
            <w:tcW w:w="2770"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sz w:val="24"/>
                <w:szCs w:val="24"/>
              </w:rPr>
            </w:pPr>
            <w:r w:rsidRPr="005F6061">
              <w:rPr>
                <w:rFonts w:ascii="Times New Roman" w:hAnsi="Times New Roman" w:cs="Times New Roman"/>
                <w:sz w:val="24"/>
                <w:szCs w:val="24"/>
              </w:rPr>
              <w:t>M01.01. Hacer investigación del proceso.</w:t>
            </w:r>
            <w:r w:rsidRPr="005F6061" w:rsidDel="006933DD">
              <w:rPr>
                <w:rFonts w:ascii="Times New Roman" w:hAnsi="Times New Roman" w:cs="Times New Roman"/>
                <w:sz w:val="24"/>
                <w:szCs w:val="24"/>
              </w:rPr>
              <w:t xml:space="preserve"> </w:t>
            </w:r>
          </w:p>
        </w:tc>
        <w:tc>
          <w:tcPr>
            <w:tcW w:w="6840"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sz w:val="24"/>
                <w:szCs w:val="24"/>
              </w:rPr>
            </w:pPr>
            <w:r w:rsidRPr="005F6061">
              <w:rPr>
                <w:rFonts w:ascii="Times New Roman" w:hAnsi="Times New Roman" w:cs="Times New Roman"/>
                <w:sz w:val="24"/>
                <w:szCs w:val="24"/>
              </w:rPr>
              <w:t>Remisión de queja disciplinaria</w:t>
            </w:r>
          </w:p>
        </w:tc>
      </w:tr>
      <w:tr w:rsidR="005F6061" w:rsidRPr="005F6061" w:rsidTr="00885262">
        <w:trPr>
          <w:cantSplit/>
        </w:trPr>
        <w:tc>
          <w:tcPr>
            <w:tcW w:w="277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lang w:eastAsia="en-US"/>
              </w:rPr>
            </w:pPr>
            <w:r w:rsidRPr="005F6061">
              <w:rPr>
                <w:rFonts w:ascii="Times New Roman" w:hAnsi="Times New Roman" w:cs="Times New Roman"/>
                <w:sz w:val="24"/>
                <w:szCs w:val="24"/>
                <w:lang w:eastAsia="en-US"/>
              </w:rPr>
              <w:t>N0201. Archivo de gestión</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sidDel="006933DD">
              <w:rPr>
                <w:rFonts w:ascii="Times New Roman" w:hAnsi="Times New Roman" w:cs="Times New Roman"/>
                <w:sz w:val="24"/>
                <w:szCs w:val="24"/>
              </w:rPr>
              <w:t xml:space="preserve"> </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Reportes generados por el proceso</w:t>
            </w: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p>
        </w:tc>
      </w:tr>
      <w:tr w:rsidR="005F6061" w:rsidRPr="005F6061" w:rsidTr="00885262">
        <w:trPr>
          <w:cantSplit/>
        </w:trPr>
        <w:tc>
          <w:tcPr>
            <w:tcW w:w="277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I0102. Manejar requisiciones</w:t>
            </w:r>
          </w:p>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p>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Requisición de contratación de  auditoría externa(Requisición de compra, Estudio de conveniencia y viabilidad)</w:t>
            </w:r>
            <w:r w:rsidRPr="005F6061" w:rsidDel="00E13FB3">
              <w:rPr>
                <w:rFonts w:ascii="Times New Roman" w:hAnsi="Times New Roman" w:cs="Times New Roman"/>
                <w:sz w:val="24"/>
                <w:szCs w:val="24"/>
              </w:rPr>
              <w:t xml:space="preserve"> </w:t>
            </w:r>
          </w:p>
        </w:tc>
      </w:tr>
      <w:tr w:rsidR="005F6061" w:rsidRPr="005F6061" w:rsidTr="00885262">
        <w:trPr>
          <w:cantSplit/>
        </w:trPr>
        <w:tc>
          <w:tcPr>
            <w:tcW w:w="2770" w:type="dxa"/>
            <w:tcBorders>
              <w:top w:val="single" w:sz="18" w:space="0" w:color="auto"/>
              <w:bottom w:val="single" w:sz="18" w:space="0" w:color="auto"/>
            </w:tcBorders>
          </w:tcPr>
          <w:p w:rsidR="005F6061" w:rsidRPr="005F6061" w:rsidRDefault="005F6061" w:rsidP="00885262">
            <w:pPr>
              <w:autoSpaceDE w:val="0"/>
              <w:autoSpaceDN w:val="0"/>
              <w:adjustRightInd w:val="0"/>
              <w:spacing w:after="0" w:line="240" w:lineRule="atLeast"/>
              <w:jc w:val="center"/>
              <w:rPr>
                <w:rFonts w:ascii="Times New Roman" w:hAnsi="Times New Roman" w:cs="Times New Roman"/>
                <w:sz w:val="24"/>
                <w:szCs w:val="24"/>
              </w:rPr>
            </w:pPr>
            <w:r w:rsidRPr="005F6061">
              <w:rPr>
                <w:rFonts w:ascii="Times New Roman" w:hAnsi="Times New Roman" w:cs="Times New Roman"/>
                <w:sz w:val="24"/>
                <w:szCs w:val="24"/>
              </w:rPr>
              <w:t>N01.02 Acciones correctivas</w:t>
            </w:r>
          </w:p>
        </w:tc>
        <w:tc>
          <w:tcPr>
            <w:tcW w:w="6840" w:type="dxa"/>
            <w:tcBorders>
              <w:top w:val="single" w:sz="18" w:space="0" w:color="auto"/>
              <w:bottom w:val="single" w:sz="18" w:space="0" w:color="auto"/>
            </w:tcBorders>
            <w:vAlign w:val="center"/>
          </w:tcPr>
          <w:p w:rsidR="005F6061" w:rsidRPr="005F6061" w:rsidRDefault="005F6061" w:rsidP="00885262">
            <w:pPr>
              <w:autoSpaceDE w:val="0"/>
              <w:autoSpaceDN w:val="0"/>
              <w:adjustRightInd w:val="0"/>
              <w:spacing w:after="0" w:line="191" w:lineRule="atLeast"/>
              <w:jc w:val="center"/>
              <w:rPr>
                <w:rFonts w:ascii="Times New Roman" w:hAnsi="Times New Roman" w:cs="Times New Roman"/>
                <w:sz w:val="24"/>
                <w:szCs w:val="24"/>
              </w:rPr>
            </w:pPr>
            <w:r w:rsidRPr="005F6061">
              <w:rPr>
                <w:rFonts w:ascii="Times New Roman" w:hAnsi="Times New Roman" w:cs="Times New Roman"/>
                <w:sz w:val="24"/>
                <w:szCs w:val="24"/>
              </w:rPr>
              <w:t>Registro de Acción correctiva</w:t>
            </w:r>
          </w:p>
        </w:tc>
      </w:tr>
    </w:tbl>
    <w:p w:rsidR="005F6061" w:rsidRPr="005F6061" w:rsidRDefault="005F6061" w:rsidP="005F6061">
      <w:pPr>
        <w:rPr>
          <w:rFonts w:ascii="Times New Roman" w:hAnsi="Times New Roman" w:cs="Times New Roman"/>
          <w:b/>
          <w:sz w:val="24"/>
          <w:szCs w:val="24"/>
        </w:rPr>
      </w:pPr>
    </w:p>
    <w:tbl>
      <w:tblPr>
        <w:tblW w:w="96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272"/>
      </w:tblGrid>
      <w:tr w:rsidR="005F6061" w:rsidRPr="005F6061" w:rsidTr="00885262">
        <w:trPr>
          <w:tblHeader/>
        </w:trPr>
        <w:tc>
          <w:tcPr>
            <w:tcW w:w="9610" w:type="dxa"/>
            <w:gridSpan w:val="2"/>
            <w:tcBorders>
              <w:top w:val="single" w:sz="18" w:space="0" w:color="auto"/>
              <w:bottom w:val="single" w:sz="18" w:space="0" w:color="auto"/>
            </w:tcBorders>
            <w:shd w:val="clear" w:color="auto" w:fill="D9D9D9"/>
          </w:tcPr>
          <w:p w:rsidR="005F6061" w:rsidRPr="005F6061" w:rsidRDefault="005F6061" w:rsidP="00885262">
            <w:pPr>
              <w:pStyle w:val="Ttulo2"/>
              <w:jc w:val="center"/>
              <w:rPr>
                <w:sz w:val="24"/>
                <w:szCs w:val="24"/>
                <w:lang w:val="es-CO"/>
              </w:rPr>
            </w:pPr>
            <w:bookmarkStart w:id="13" w:name="_Toc239743956"/>
            <w:r w:rsidRPr="005F6061">
              <w:rPr>
                <w:sz w:val="24"/>
                <w:szCs w:val="24"/>
                <w:lang w:val="es-CO"/>
              </w:rPr>
              <w:t>INDICADORES DE GESTIÓN / SEGUIMIENTO</w:t>
            </w:r>
            <w:bookmarkEnd w:id="13"/>
          </w:p>
        </w:tc>
      </w:tr>
      <w:tr w:rsidR="005F6061" w:rsidRPr="005F6061" w:rsidTr="00885262">
        <w:trPr>
          <w:cantSplit/>
          <w:trHeight w:val="888"/>
        </w:trPr>
        <w:tc>
          <w:tcPr>
            <w:tcW w:w="2338"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b/>
                <w:bCs/>
                <w:sz w:val="24"/>
                <w:szCs w:val="24"/>
              </w:rPr>
            </w:pPr>
            <w:r w:rsidRPr="005F6061">
              <w:rPr>
                <w:rFonts w:ascii="Times New Roman" w:hAnsi="Times New Roman" w:cs="Times New Roman"/>
                <w:b/>
                <w:bCs/>
                <w:sz w:val="24"/>
                <w:szCs w:val="24"/>
              </w:rPr>
              <w:t>CÓDIGO DEL INDICADOR</w:t>
            </w:r>
          </w:p>
        </w:tc>
        <w:tc>
          <w:tcPr>
            <w:tcW w:w="7272"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b/>
                <w:bCs/>
                <w:sz w:val="24"/>
                <w:szCs w:val="24"/>
              </w:rPr>
            </w:pPr>
            <w:r w:rsidRPr="005F6061">
              <w:rPr>
                <w:rFonts w:ascii="Times New Roman" w:hAnsi="Times New Roman" w:cs="Times New Roman"/>
                <w:b/>
                <w:bCs/>
                <w:sz w:val="24"/>
                <w:szCs w:val="24"/>
              </w:rPr>
              <w:t>NOMBRE DEL INDICADOR</w:t>
            </w:r>
          </w:p>
        </w:tc>
      </w:tr>
      <w:tr w:rsidR="005F6061" w:rsidRPr="005F6061" w:rsidTr="00885262">
        <w:trPr>
          <w:cantSplit/>
          <w:trHeight w:val="659"/>
        </w:trPr>
        <w:tc>
          <w:tcPr>
            <w:tcW w:w="2338"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b/>
                <w:bCs/>
                <w:sz w:val="24"/>
                <w:szCs w:val="24"/>
              </w:rPr>
            </w:pPr>
            <w:r w:rsidRPr="005F6061">
              <w:rPr>
                <w:rFonts w:ascii="Times New Roman" w:hAnsi="Times New Roman" w:cs="Times New Roman"/>
                <w:b/>
                <w:bCs/>
                <w:sz w:val="24"/>
                <w:szCs w:val="24"/>
              </w:rPr>
              <w:t>C05_001</w:t>
            </w:r>
          </w:p>
        </w:tc>
        <w:tc>
          <w:tcPr>
            <w:tcW w:w="7272" w:type="dxa"/>
            <w:tcBorders>
              <w:top w:val="single" w:sz="18" w:space="0" w:color="auto"/>
              <w:bottom w:val="single" w:sz="18" w:space="0" w:color="auto"/>
            </w:tcBorders>
            <w:vAlign w:val="center"/>
          </w:tcPr>
          <w:p w:rsidR="005F6061" w:rsidRPr="005F6061" w:rsidRDefault="005F6061" w:rsidP="00885262">
            <w:pPr>
              <w:rPr>
                <w:rFonts w:ascii="Times New Roman" w:hAnsi="Times New Roman" w:cs="Times New Roman"/>
                <w:b/>
                <w:bCs/>
                <w:sz w:val="24"/>
                <w:szCs w:val="24"/>
              </w:rPr>
            </w:pPr>
            <w:r w:rsidRPr="005F6061">
              <w:rPr>
                <w:rFonts w:ascii="Times New Roman" w:hAnsi="Times New Roman" w:cs="Times New Roman"/>
                <w:b/>
                <w:bCs/>
                <w:sz w:val="24"/>
                <w:szCs w:val="24"/>
              </w:rPr>
              <w:t xml:space="preserve">COBERTURA DE AUDITORÍA EXTERNA DE MATRÍCULA </w:t>
            </w:r>
          </w:p>
        </w:tc>
      </w:tr>
      <w:tr w:rsidR="005F6061" w:rsidRPr="005F6061" w:rsidTr="00885262">
        <w:trPr>
          <w:cantSplit/>
          <w:trHeight w:val="659"/>
        </w:trPr>
        <w:tc>
          <w:tcPr>
            <w:tcW w:w="2338"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b/>
                <w:bCs/>
                <w:sz w:val="24"/>
                <w:szCs w:val="24"/>
              </w:rPr>
            </w:pPr>
            <w:r w:rsidRPr="005F6061">
              <w:rPr>
                <w:rFonts w:ascii="Times New Roman" w:hAnsi="Times New Roman" w:cs="Times New Roman"/>
                <w:b/>
                <w:bCs/>
                <w:sz w:val="24"/>
                <w:szCs w:val="24"/>
              </w:rPr>
              <w:t>C05_002</w:t>
            </w:r>
          </w:p>
        </w:tc>
        <w:tc>
          <w:tcPr>
            <w:tcW w:w="7272" w:type="dxa"/>
            <w:tcBorders>
              <w:top w:val="single" w:sz="18" w:space="0" w:color="auto"/>
              <w:bottom w:val="single" w:sz="18" w:space="0" w:color="auto"/>
            </w:tcBorders>
            <w:vAlign w:val="center"/>
          </w:tcPr>
          <w:p w:rsidR="005F6061" w:rsidRPr="005F6061" w:rsidRDefault="005F6061" w:rsidP="00885262">
            <w:pPr>
              <w:rPr>
                <w:rFonts w:ascii="Times New Roman" w:hAnsi="Times New Roman" w:cs="Times New Roman"/>
                <w:b/>
                <w:bCs/>
                <w:sz w:val="24"/>
                <w:szCs w:val="24"/>
              </w:rPr>
            </w:pPr>
            <w:r w:rsidRPr="005F6061">
              <w:rPr>
                <w:rFonts w:ascii="Times New Roman" w:hAnsi="Times New Roman" w:cs="Times New Roman"/>
                <w:b/>
                <w:bCs/>
                <w:sz w:val="24"/>
                <w:szCs w:val="24"/>
              </w:rPr>
              <w:t xml:space="preserve">PORCENTAJE DE AUDITORÍAS REALIZADAS AL FINAL DE LA FECHA DE CIERRE DE CRONOGRAMA </w:t>
            </w:r>
          </w:p>
        </w:tc>
      </w:tr>
      <w:tr w:rsidR="005F6061" w:rsidRPr="005F6061" w:rsidTr="00885262">
        <w:trPr>
          <w:cantSplit/>
          <w:trHeight w:val="656"/>
        </w:trPr>
        <w:tc>
          <w:tcPr>
            <w:tcW w:w="2338" w:type="dxa"/>
            <w:tcBorders>
              <w:top w:val="single" w:sz="18" w:space="0" w:color="auto"/>
              <w:bottom w:val="single" w:sz="18" w:space="0" w:color="auto"/>
            </w:tcBorders>
            <w:vAlign w:val="center"/>
          </w:tcPr>
          <w:p w:rsidR="005F6061" w:rsidRPr="005F6061" w:rsidRDefault="005F6061" w:rsidP="00885262">
            <w:pPr>
              <w:jc w:val="center"/>
              <w:rPr>
                <w:rFonts w:ascii="Times New Roman" w:hAnsi="Times New Roman" w:cs="Times New Roman"/>
                <w:b/>
                <w:bCs/>
                <w:sz w:val="24"/>
                <w:szCs w:val="24"/>
              </w:rPr>
            </w:pPr>
            <w:r w:rsidRPr="005F6061">
              <w:rPr>
                <w:rFonts w:ascii="Times New Roman" w:hAnsi="Times New Roman" w:cs="Times New Roman"/>
                <w:b/>
                <w:bCs/>
                <w:sz w:val="24"/>
                <w:szCs w:val="24"/>
              </w:rPr>
              <w:t xml:space="preserve">C05_003 </w:t>
            </w:r>
          </w:p>
        </w:tc>
        <w:tc>
          <w:tcPr>
            <w:tcW w:w="7272" w:type="dxa"/>
            <w:tcBorders>
              <w:top w:val="single" w:sz="18" w:space="0" w:color="auto"/>
              <w:bottom w:val="single" w:sz="18" w:space="0" w:color="auto"/>
            </w:tcBorders>
            <w:vAlign w:val="center"/>
          </w:tcPr>
          <w:p w:rsidR="005F6061" w:rsidRPr="005F6061" w:rsidRDefault="005F6061" w:rsidP="00885262">
            <w:pPr>
              <w:rPr>
                <w:rFonts w:ascii="Times New Roman" w:hAnsi="Times New Roman" w:cs="Times New Roman"/>
                <w:b/>
                <w:bCs/>
                <w:sz w:val="24"/>
                <w:szCs w:val="24"/>
              </w:rPr>
            </w:pPr>
            <w:r w:rsidRPr="005F6061">
              <w:rPr>
                <w:rFonts w:ascii="Times New Roman" w:hAnsi="Times New Roman" w:cs="Times New Roman"/>
                <w:b/>
                <w:bCs/>
                <w:sz w:val="24"/>
                <w:szCs w:val="24"/>
              </w:rPr>
              <w:t xml:space="preserve">CUMPLIMIENTO DE LOS PLANES DE ACCIÓN </w:t>
            </w:r>
          </w:p>
        </w:tc>
      </w:tr>
    </w:tbl>
    <w:p w:rsidR="005F6061" w:rsidRPr="005F6061" w:rsidRDefault="005F6061" w:rsidP="005F6061">
      <w:pPr>
        <w:pStyle w:val="Textoindependiente"/>
        <w:rPr>
          <w:szCs w:val="24"/>
          <w:lang w:val="es-CO"/>
        </w:rPr>
      </w:pPr>
      <w:bookmarkStart w:id="14" w:name="_Toc110176750"/>
    </w:p>
    <w:bookmarkEnd w:id="14"/>
    <w:p w:rsidR="005F6061" w:rsidRPr="005F6061" w:rsidRDefault="005F6061" w:rsidP="005F6061">
      <w:pPr>
        <w:pStyle w:val="Textoindependiente"/>
        <w:rPr>
          <w:szCs w:val="24"/>
          <w:lang w:val="es-CO"/>
        </w:rPr>
      </w:pPr>
    </w:p>
    <w:p w:rsidR="005F6061" w:rsidRPr="005F6061" w:rsidRDefault="005F6061" w:rsidP="005F6061">
      <w:pPr>
        <w:pStyle w:val="Ttulo1"/>
        <w:tabs>
          <w:tab w:val="clear" w:pos="504"/>
          <w:tab w:val="num" w:pos="567"/>
        </w:tabs>
        <w:ind w:left="567" w:hanging="567"/>
        <w:jc w:val="both"/>
        <w:rPr>
          <w:sz w:val="24"/>
          <w:szCs w:val="24"/>
          <w:lang w:val="es-CO"/>
        </w:rPr>
      </w:pPr>
      <w:bookmarkStart w:id="15" w:name="_Toc137352622"/>
      <w:bookmarkStart w:id="16" w:name="_Toc118698834"/>
      <w:bookmarkStart w:id="17" w:name="_Toc121110175"/>
      <w:r w:rsidRPr="005F6061">
        <w:rPr>
          <w:sz w:val="24"/>
          <w:szCs w:val="24"/>
          <w:lang w:val="es-CO"/>
        </w:rPr>
        <w:br w:type="page"/>
      </w:r>
      <w:bookmarkStart w:id="18" w:name="_Toc239743957"/>
      <w:r w:rsidRPr="005F6061">
        <w:rPr>
          <w:sz w:val="24"/>
          <w:szCs w:val="24"/>
          <w:lang w:val="es-CO"/>
        </w:rPr>
        <w:lastRenderedPageBreak/>
        <w:t>ANEXO 1”INDICADORES DEL PROCESO”</w:t>
      </w:r>
      <w:bookmarkEnd w:id="15"/>
      <w:bookmarkEnd w:id="18"/>
    </w:p>
    <w:p w:rsidR="005F6061" w:rsidRPr="005F6061" w:rsidRDefault="005F6061" w:rsidP="005F6061">
      <w:pPr>
        <w:spacing w:after="0"/>
        <w:jc w:val="both"/>
        <w:rPr>
          <w:rFonts w:ascii="Times New Roman" w:hAnsi="Times New Roman" w:cs="Times New Roman"/>
          <w:sz w:val="24"/>
          <w:szCs w:val="24"/>
        </w:rPr>
      </w:pPr>
      <w:r w:rsidRPr="005F6061">
        <w:rPr>
          <w:rFonts w:ascii="Times New Roman" w:hAnsi="Times New Roman" w:cs="Times New Roman"/>
          <w:sz w:val="24"/>
          <w:szCs w:val="24"/>
        </w:rPr>
        <w:t>En este anexo se presenta las hojas de vida de los indicadores asociados al proceso. La medición e historia de estos indicadores se llevará en un archivo en Excel que será entregado por la firma a cada uno de los responsables de la medición en la Secretaría.</w:t>
      </w:r>
    </w:p>
    <w:p w:rsidR="005F6061" w:rsidRPr="005F6061" w:rsidRDefault="005F6061" w:rsidP="005F6061">
      <w:pPr>
        <w:spacing w:after="0"/>
        <w:rPr>
          <w:rFonts w:ascii="Times New Roman" w:hAnsi="Times New Roman" w:cs="Times New Roman"/>
          <w:sz w:val="24"/>
          <w:szCs w:val="24"/>
        </w:rPr>
      </w:pPr>
    </w:p>
    <w:p w:rsidR="005F6061" w:rsidRPr="005F6061" w:rsidRDefault="005F6061" w:rsidP="005F6061">
      <w:pPr>
        <w:spacing w:after="0"/>
        <w:rPr>
          <w:rFonts w:ascii="Times New Roman" w:hAnsi="Times New Roman" w:cs="Times New Roman"/>
          <w:sz w:val="24"/>
          <w:szCs w:val="24"/>
        </w:rPr>
      </w:pPr>
      <w:r w:rsidRPr="005F6061">
        <w:rPr>
          <w:rFonts w:ascii="Times New Roman" w:hAnsi="Times New Roman" w:cs="Times New Roman"/>
          <w:sz w:val="24"/>
          <w:szCs w:val="24"/>
        </w:rPr>
        <w:t>Este anexo se compone de 3 páginas.</w:t>
      </w:r>
      <w:bookmarkEnd w:id="16"/>
      <w:bookmarkEnd w:id="17"/>
    </w:p>
    <w:sectPr w:rsidR="005F6061" w:rsidRPr="005F6061"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AB3" w:rsidRDefault="007A7AB3">
      <w:pPr>
        <w:spacing w:after="0" w:line="240" w:lineRule="auto"/>
      </w:pPr>
      <w:r>
        <w:separator/>
      </w:r>
    </w:p>
  </w:endnote>
  <w:endnote w:type="continuationSeparator" w:id="0">
    <w:p w:rsidR="007A7AB3" w:rsidRDefault="007A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B" w:rsidRDefault="003B3507" w:rsidP="00F94DCC">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1808E6">
      <w:rPr>
        <w:rStyle w:val="Nmerodepgina"/>
        <w:noProof/>
      </w:rPr>
      <w:t>2</w:t>
    </w:r>
    <w:r>
      <w:rPr>
        <w:rStyle w:val="Nmerodepgina"/>
      </w:rPr>
      <w:fldChar w:fldCharType="end"/>
    </w:r>
    <w:r w:rsidR="007A7AB3">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r>
  </w:p>
  <w:p w:rsidR="009C278B" w:rsidRDefault="007A7AB3"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B" w:rsidRDefault="007A7AB3" w:rsidP="0040097B">
    <w:pPr>
      <w:pStyle w:val="Piedepgina"/>
      <w:tabs>
        <w:tab w:val="right" w:pos="7088"/>
      </w:tabs>
      <w:spacing w:before="0"/>
      <w:ind w:firstLine="360"/>
      <w:jc w:val="center"/>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3B3507">
      <w:rPr>
        <w:rStyle w:val="Nmerodepgina"/>
        <w:b/>
        <w:color w:val="C0C0C0"/>
      </w:rPr>
      <w:tab/>
    </w:r>
    <w:r w:rsidR="003B3507">
      <w:rPr>
        <w:rStyle w:val="Nmerodepgina"/>
        <w:b/>
        <w:color w:val="C0C0C0"/>
      </w:rPr>
      <w:tab/>
      <w:t xml:space="preserve"> </w:t>
    </w:r>
  </w:p>
  <w:p w:rsidR="009C278B" w:rsidRDefault="007A7AB3"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AB3" w:rsidRDefault="007A7AB3">
      <w:pPr>
        <w:spacing w:after="0" w:line="240" w:lineRule="auto"/>
      </w:pPr>
      <w:r>
        <w:separator/>
      </w:r>
    </w:p>
  </w:footnote>
  <w:footnote w:type="continuationSeparator" w:id="0">
    <w:p w:rsidR="007A7AB3" w:rsidRDefault="007A7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B" w:rsidRDefault="007A7AB3" w:rsidP="00B95614">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9C278B" w:rsidRDefault="007A7A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B" w:rsidRDefault="007A7AB3" w:rsidP="00B95614">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9C278B" w:rsidRDefault="007A7AB3" w:rsidP="00B95614">
    <w:pPr>
      <w:pStyle w:val="Encabezado"/>
    </w:pPr>
  </w:p>
  <w:p w:rsidR="009C278B" w:rsidRPr="00654E05" w:rsidRDefault="007A7AB3" w:rsidP="00654E05">
    <w:pPr>
      <w:spacing w:after="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11DD"/>
    <w:multiLevelType w:val="hybridMultilevel"/>
    <w:tmpl w:val="D792BC22"/>
    <w:lvl w:ilvl="0" w:tplc="0C0A0005">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2">
    <w:nsid w:val="5A065734"/>
    <w:multiLevelType w:val="hybridMultilevel"/>
    <w:tmpl w:val="5FE8B1B0"/>
    <w:lvl w:ilvl="0" w:tplc="A012541C">
      <w:start w:val="1"/>
      <w:numFmt w:val="bullet"/>
      <w:lvlText w:val=""/>
      <w:lvlJc w:val="left"/>
      <w:pPr>
        <w:tabs>
          <w:tab w:val="num" w:pos="1080"/>
        </w:tabs>
        <w:ind w:left="1080" w:hanging="360"/>
      </w:pPr>
      <w:rPr>
        <w:rFonts w:ascii="Wingdings" w:hAnsi="Wingdings" w:hint="default"/>
        <w:sz w:val="18"/>
        <w:szCs w:val="18"/>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69A11365"/>
    <w:multiLevelType w:val="hybridMultilevel"/>
    <w:tmpl w:val="DF94C3B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E450F8C"/>
    <w:multiLevelType w:val="hybridMultilevel"/>
    <w:tmpl w:val="9354643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F6061"/>
    <w:rsid w:val="001808E6"/>
    <w:rsid w:val="003B3507"/>
    <w:rsid w:val="004019D8"/>
    <w:rsid w:val="005F6061"/>
    <w:rsid w:val="007A7AB3"/>
    <w:rsid w:val="00EC2A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5F6061"/>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5F6061"/>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5F6061"/>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5F6061"/>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5F6061"/>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5F6061"/>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5F6061"/>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5F6061"/>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5F6061"/>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5F6061"/>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5F6061"/>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5F6061"/>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5F6061"/>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5F6061"/>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5F6061"/>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5F606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5F606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5F6061"/>
    <w:rPr>
      <w:rFonts w:ascii="Arial" w:eastAsia="Times New Roman" w:hAnsi="Arial" w:cs="Times New Roman"/>
      <w:b/>
      <w:i/>
      <w:sz w:val="18"/>
      <w:szCs w:val="20"/>
      <w:lang w:val="es-ES_tradnl" w:eastAsia="es-ES"/>
    </w:rPr>
  </w:style>
  <w:style w:type="paragraph" w:styleId="Ttulo">
    <w:name w:val="Title"/>
    <w:basedOn w:val="Normal"/>
    <w:link w:val="TtuloCar"/>
    <w:qFormat/>
    <w:rsid w:val="005F6061"/>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5F6061"/>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5F6061"/>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5F6061"/>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5F6061"/>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5F6061"/>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5F6061"/>
  </w:style>
  <w:style w:type="paragraph" w:styleId="TDC1">
    <w:name w:val="toc 1"/>
    <w:basedOn w:val="Normal"/>
    <w:next w:val="Normal"/>
    <w:autoRedefine/>
    <w:uiPriority w:val="39"/>
    <w:rsid w:val="005F6061"/>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5F6061"/>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5F6061"/>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5F6061"/>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rsid w:val="005F6061"/>
    <w:pPr>
      <w:spacing w:before="120" w:after="0" w:line="240" w:lineRule="auto"/>
    </w:pPr>
    <w:rPr>
      <w:rFonts w:ascii="Times New Roman" w:eastAsia="Times New Roman" w:hAnsi="Times New Roman" w:cs="Times New Roman"/>
      <w:color w:val="FF00FF"/>
      <w:sz w:val="24"/>
      <w:szCs w:val="20"/>
      <w:lang w:val="es-ES_tradnl" w:eastAsia="es-ES"/>
    </w:rPr>
  </w:style>
  <w:style w:type="character" w:customStyle="1" w:styleId="Textoindependiente3Car">
    <w:name w:val="Texto independiente 3 Car"/>
    <w:basedOn w:val="Fuentedeprrafopredeter"/>
    <w:link w:val="Textoindependiente3"/>
    <w:rsid w:val="005F6061"/>
    <w:rPr>
      <w:rFonts w:ascii="Times New Roman" w:eastAsia="Times New Roman" w:hAnsi="Times New Roman" w:cs="Times New Roman"/>
      <w:color w:val="FF00FF"/>
      <w:sz w:val="24"/>
      <w:szCs w:val="20"/>
      <w:lang w:val="es-ES_tradnl" w:eastAsia="es-ES"/>
    </w:rPr>
  </w:style>
  <w:style w:type="paragraph" w:styleId="Textodeglobo">
    <w:name w:val="Balloon Text"/>
    <w:basedOn w:val="Normal"/>
    <w:link w:val="TextodegloboCar"/>
    <w:uiPriority w:val="99"/>
    <w:semiHidden/>
    <w:unhideWhenUsed/>
    <w:rsid w:val="00401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2400</Words>
  <Characters>13203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AC Computadores Servinet</Company>
  <LinksUpToDate>false</LinksUpToDate>
  <CharactersWithSpaces>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4</cp:revision>
  <cp:lastPrinted>2012-11-09T03:12:00Z</cp:lastPrinted>
  <dcterms:created xsi:type="dcterms:W3CDTF">2012-10-23T16:23:00Z</dcterms:created>
  <dcterms:modified xsi:type="dcterms:W3CDTF">2013-10-11T02:48:00Z</dcterms:modified>
</cp:coreProperties>
</file>